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E378" w14:textId="77777777" w:rsidR="00214265" w:rsidRPr="00214265" w:rsidRDefault="00214265" w:rsidP="00214265">
      <w:pPr>
        <w:spacing w:line="360" w:lineRule="auto"/>
        <w:jc w:val="center"/>
        <w:rPr>
          <w:rFonts w:ascii="Times New Roman" w:hAnsi="Times New Roman" w:cs="Times New Roman"/>
          <w:b/>
          <w:bCs/>
          <w:sz w:val="24"/>
          <w:szCs w:val="24"/>
        </w:rPr>
      </w:pPr>
      <w:r w:rsidRPr="00214265">
        <w:rPr>
          <w:rFonts w:ascii="Times New Roman" w:hAnsi="Times New Roman" w:cs="Times New Roman"/>
          <w:b/>
          <w:bCs/>
          <w:sz w:val="24"/>
          <w:szCs w:val="24"/>
        </w:rPr>
        <w:t xml:space="preserve">"Peran Ulama </w:t>
      </w:r>
      <w:proofErr w:type="spellStart"/>
      <w:r w:rsidRPr="00214265">
        <w:rPr>
          <w:rFonts w:ascii="Times New Roman" w:hAnsi="Times New Roman" w:cs="Times New Roman"/>
          <w:b/>
          <w:bCs/>
          <w:sz w:val="24"/>
          <w:szCs w:val="24"/>
        </w:rPr>
        <w:t>dalam</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Mempertahankan</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Keberagaman</w:t>
      </w:r>
      <w:proofErr w:type="spellEnd"/>
      <w:r w:rsidRPr="00214265">
        <w:rPr>
          <w:rFonts w:ascii="Times New Roman" w:hAnsi="Times New Roman" w:cs="Times New Roman"/>
          <w:b/>
          <w:bCs/>
          <w:sz w:val="24"/>
          <w:szCs w:val="24"/>
        </w:rPr>
        <w:t xml:space="preserve"> Agama: Kasus </w:t>
      </w:r>
      <w:proofErr w:type="spellStart"/>
      <w:r w:rsidRPr="00214265">
        <w:rPr>
          <w:rFonts w:ascii="Times New Roman" w:hAnsi="Times New Roman" w:cs="Times New Roman"/>
          <w:b/>
          <w:bCs/>
          <w:sz w:val="24"/>
          <w:szCs w:val="24"/>
        </w:rPr>
        <w:t>Toleransi</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Antarumat</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Beragama</w:t>
      </w:r>
      <w:proofErr w:type="spellEnd"/>
      <w:r w:rsidRPr="00214265">
        <w:rPr>
          <w:rFonts w:ascii="Times New Roman" w:hAnsi="Times New Roman" w:cs="Times New Roman"/>
          <w:b/>
          <w:bCs/>
          <w:sz w:val="24"/>
          <w:szCs w:val="24"/>
        </w:rPr>
        <w:t xml:space="preserve"> di Indonesia"</w:t>
      </w:r>
    </w:p>
    <w:p w14:paraId="2F30ABD3" w14:textId="5DAB95F4" w:rsidR="00214265" w:rsidRPr="00214265" w:rsidRDefault="00DA7519" w:rsidP="00214265">
      <w:pPr>
        <w:tabs>
          <w:tab w:val="center" w:pos="3118"/>
          <w:tab w:val="right" w:pos="6237"/>
        </w:tabs>
        <w:spacing w:after="0" w:line="240" w:lineRule="auto"/>
        <w:jc w:val="center"/>
        <w:rPr>
          <w:rFonts w:ascii="Cambria" w:eastAsia="Cambria" w:hAnsi="Cambria" w:cs="Cambria"/>
          <w:sz w:val="24"/>
          <w:szCs w:val="24"/>
        </w:rPr>
      </w:pPr>
      <w:r>
        <w:rPr>
          <w:rFonts w:ascii="Cambria" w:eastAsia="Cambria" w:hAnsi="Cambria" w:cs="Cambria"/>
          <w:b/>
          <w:sz w:val="24"/>
          <w:szCs w:val="24"/>
        </w:rPr>
        <w:t>Hanik Hidayati</w:t>
      </w:r>
      <w:r w:rsidR="00214265" w:rsidRPr="00214265">
        <w:rPr>
          <w:rFonts w:ascii="Cambria" w:eastAsia="Cambria" w:hAnsi="Cambria" w:cs="Cambria"/>
          <w:b/>
          <w:sz w:val="24"/>
          <w:szCs w:val="24"/>
          <w:vertAlign w:val="superscript"/>
        </w:rPr>
        <w:t>1</w:t>
      </w:r>
      <w:r w:rsidR="00214265" w:rsidRPr="00214265">
        <w:rPr>
          <w:rFonts w:ascii="Cambria" w:eastAsia="Cambria" w:hAnsi="Cambria" w:cs="Cambria"/>
          <w:b/>
          <w:sz w:val="24"/>
          <w:szCs w:val="24"/>
        </w:rPr>
        <w:t xml:space="preserve"> </w:t>
      </w:r>
    </w:p>
    <w:p w14:paraId="793C81FC" w14:textId="02F7AD73" w:rsidR="00214265" w:rsidRPr="00214265" w:rsidRDefault="00DA7519" w:rsidP="00214265">
      <w:pPr>
        <w:tabs>
          <w:tab w:val="center" w:pos="3118"/>
          <w:tab w:val="right" w:pos="6237"/>
        </w:tabs>
        <w:spacing w:after="0" w:line="240" w:lineRule="auto"/>
        <w:jc w:val="center"/>
        <w:rPr>
          <w:rFonts w:ascii="Cambria" w:eastAsia="Cambria" w:hAnsi="Cambria" w:cs="Cambria"/>
        </w:rPr>
      </w:pPr>
      <w:r>
        <w:rPr>
          <w:rFonts w:ascii="Cambria" w:eastAsia="Cambria" w:hAnsi="Cambria" w:cs="Cambria"/>
        </w:rPr>
        <w:t xml:space="preserve">Universitas </w:t>
      </w:r>
      <w:proofErr w:type="spellStart"/>
      <w:r>
        <w:rPr>
          <w:rFonts w:ascii="Cambria" w:eastAsia="Cambria" w:hAnsi="Cambria" w:cs="Cambria"/>
        </w:rPr>
        <w:t>Muria</w:t>
      </w:r>
      <w:proofErr w:type="spellEnd"/>
      <w:r>
        <w:rPr>
          <w:rFonts w:ascii="Cambria" w:eastAsia="Cambria" w:hAnsi="Cambria" w:cs="Cambria"/>
        </w:rPr>
        <w:t xml:space="preserve"> Kudus</w:t>
      </w:r>
      <w:r w:rsidR="00214265" w:rsidRPr="00214265">
        <w:rPr>
          <w:rFonts w:ascii="Cambria" w:eastAsia="Cambria" w:hAnsi="Cambria" w:cs="Cambria"/>
          <w:vertAlign w:val="superscript"/>
        </w:rPr>
        <w:t xml:space="preserve">1 </w:t>
      </w:r>
    </w:p>
    <w:p w14:paraId="2153AA91" w14:textId="656863BE" w:rsidR="00214265" w:rsidRPr="00214265" w:rsidRDefault="00A26017" w:rsidP="00214265">
      <w:pPr>
        <w:tabs>
          <w:tab w:val="center" w:pos="3118"/>
          <w:tab w:val="right" w:pos="6237"/>
        </w:tabs>
        <w:spacing w:after="0" w:line="240" w:lineRule="auto"/>
        <w:jc w:val="center"/>
        <w:rPr>
          <w:rFonts w:ascii="Times New Roman" w:hAnsi="Times New Roman" w:cs="Times New Roman"/>
          <w:b/>
          <w:bCs/>
          <w:sz w:val="24"/>
          <w:szCs w:val="24"/>
        </w:rPr>
      </w:pPr>
      <w:r>
        <w:rPr>
          <w:rFonts w:ascii="Cambria" w:eastAsia="Cambria" w:hAnsi="Cambria" w:cs="Cambria"/>
          <w:i/>
        </w:rPr>
        <w:t>h</w:t>
      </w:r>
      <w:r w:rsidR="00DA7519">
        <w:rPr>
          <w:rFonts w:ascii="Cambria" w:eastAsia="Cambria" w:hAnsi="Cambria" w:cs="Cambria"/>
          <w:i/>
        </w:rPr>
        <w:t>anik.hidayati@umk.ac.id</w:t>
      </w:r>
      <w:r w:rsidR="00214265" w:rsidRPr="00214265">
        <w:rPr>
          <w:rFonts w:ascii="Cambria" w:eastAsia="Cambria" w:hAnsi="Cambria" w:cs="Cambria"/>
          <w:i/>
          <w:vertAlign w:val="superscript"/>
        </w:rPr>
        <w:t>1</w:t>
      </w:r>
      <w:r w:rsidR="00214265" w:rsidRPr="00214265">
        <w:rPr>
          <w:rFonts w:ascii="Cambria" w:eastAsia="Cambria" w:hAnsi="Cambria" w:cs="Cambria"/>
          <w:i/>
        </w:rPr>
        <w:t xml:space="preserve"> </w:t>
      </w:r>
    </w:p>
    <w:p w14:paraId="5CDFC706" w14:textId="77777777" w:rsidR="00214265" w:rsidRPr="00214265" w:rsidRDefault="00214265" w:rsidP="00214265">
      <w:pPr>
        <w:spacing w:line="360" w:lineRule="auto"/>
        <w:jc w:val="center"/>
        <w:rPr>
          <w:rFonts w:ascii="Times New Roman" w:hAnsi="Times New Roman" w:cs="Times New Roman"/>
          <w:b/>
          <w:bCs/>
          <w:sz w:val="24"/>
          <w:szCs w:val="24"/>
        </w:rPr>
      </w:pPr>
    </w:p>
    <w:p w14:paraId="14A65C05" w14:textId="77777777" w:rsidR="00214265" w:rsidRPr="00214265" w:rsidRDefault="00214265" w:rsidP="00214265">
      <w:pPr>
        <w:spacing w:after="0" w:line="360" w:lineRule="auto"/>
        <w:jc w:val="both"/>
        <w:rPr>
          <w:rFonts w:ascii="Times New Roman" w:hAnsi="Times New Roman" w:cs="Times New Roman"/>
          <w:b/>
          <w:bCs/>
          <w:sz w:val="24"/>
          <w:szCs w:val="24"/>
        </w:rPr>
      </w:pPr>
      <w:proofErr w:type="spellStart"/>
      <w:r w:rsidRPr="00214265">
        <w:rPr>
          <w:rFonts w:ascii="Times New Roman" w:hAnsi="Times New Roman" w:cs="Times New Roman"/>
          <w:b/>
          <w:bCs/>
          <w:sz w:val="24"/>
          <w:szCs w:val="24"/>
        </w:rPr>
        <w:t>Abstrak</w:t>
      </w:r>
      <w:proofErr w:type="spellEnd"/>
    </w:p>
    <w:p w14:paraId="4D24F519"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mengkaji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khususnya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pada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kualitatif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desain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merinci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Lokasi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kota</w:t>
      </w:r>
      <w:proofErr w:type="spellEnd"/>
      <w:r w:rsidRPr="00214265">
        <w:rPr>
          <w:rFonts w:ascii="Times New Roman" w:hAnsi="Times New Roman" w:cs="Times New Roman"/>
          <w:sz w:val="24"/>
          <w:szCs w:val="24"/>
        </w:rPr>
        <w:t xml:space="preserve"> metropolitan, </w:t>
      </w:r>
      <w:proofErr w:type="spellStart"/>
      <w:r w:rsidRPr="00214265">
        <w:rPr>
          <w:rFonts w:ascii="Times New Roman" w:hAnsi="Times New Roman" w:cs="Times New Roman"/>
          <w:sz w:val="24"/>
          <w:szCs w:val="24"/>
        </w:rPr>
        <w:t>perkotaan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daerah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pedesaan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purposive.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terutama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selaras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beberapa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citra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menekankan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1DDB8C49" w14:textId="77777777" w:rsidR="00214265" w:rsidRPr="00214265" w:rsidRDefault="00214265" w:rsidP="00214265">
      <w:pPr>
        <w:spacing w:line="360" w:lineRule="auto"/>
        <w:jc w:val="both"/>
        <w:rPr>
          <w:rFonts w:ascii="Times New Roman" w:hAnsi="Times New Roman" w:cs="Times New Roman"/>
          <w:sz w:val="24"/>
          <w:szCs w:val="24"/>
        </w:rPr>
      </w:pPr>
      <w:r w:rsidRPr="00214265">
        <w:rPr>
          <w:rFonts w:ascii="Times New Roman" w:hAnsi="Times New Roman" w:cs="Times New Roman"/>
          <w:b/>
          <w:bCs/>
          <w:sz w:val="24"/>
          <w:szCs w:val="24"/>
        </w:rPr>
        <w:t xml:space="preserve">Kata </w:t>
      </w:r>
      <w:proofErr w:type="spellStart"/>
      <w:r w:rsidRPr="00214265">
        <w:rPr>
          <w:rFonts w:ascii="Times New Roman" w:hAnsi="Times New Roman" w:cs="Times New Roman"/>
          <w:b/>
          <w:bCs/>
          <w:sz w:val="24"/>
          <w:szCs w:val="24"/>
        </w:rPr>
        <w:t>Kunci</w:t>
      </w:r>
      <w:proofErr w:type="spellEnd"/>
      <w:r w:rsidRPr="00214265">
        <w:rPr>
          <w:rFonts w:ascii="Times New Roman" w:hAnsi="Times New Roman" w:cs="Times New Roman"/>
          <w:b/>
          <w:bCs/>
          <w:sz w:val="24"/>
          <w:szCs w:val="24"/>
        </w:rPr>
        <w:t xml:space="preserve">: </w:t>
      </w:r>
      <w:r w:rsidRPr="00214265">
        <w:rPr>
          <w:rFonts w:ascii="Times New Roman" w:hAnsi="Times New Roman" w:cs="Times New Roman"/>
          <w:sz w:val="24"/>
          <w:szCs w:val="24"/>
        </w:rPr>
        <w:t xml:space="preserve">Ulama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0AA19BF2" w14:textId="77777777" w:rsidR="00214265" w:rsidRPr="00214265" w:rsidRDefault="00214265" w:rsidP="00214265">
      <w:pPr>
        <w:spacing w:after="0" w:line="360" w:lineRule="auto"/>
        <w:jc w:val="both"/>
        <w:rPr>
          <w:rFonts w:ascii="Times New Roman" w:hAnsi="Times New Roman" w:cs="Times New Roman"/>
          <w:b/>
          <w:bCs/>
          <w:sz w:val="24"/>
          <w:szCs w:val="24"/>
        </w:rPr>
      </w:pPr>
      <w:proofErr w:type="spellStart"/>
      <w:r w:rsidRPr="00214265">
        <w:rPr>
          <w:rFonts w:ascii="Times New Roman" w:hAnsi="Times New Roman" w:cs="Times New Roman"/>
          <w:b/>
          <w:bCs/>
          <w:sz w:val="24"/>
          <w:szCs w:val="24"/>
        </w:rPr>
        <w:t>Pendahuluan</w:t>
      </w:r>
      <w:proofErr w:type="spellEnd"/>
    </w:p>
    <w:p w14:paraId="74E85B11"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telah</w:t>
      </w:r>
      <w:proofErr w:type="spellEnd"/>
      <w:r w:rsidRPr="00214265">
        <w:rPr>
          <w:rFonts w:ascii="Times New Roman" w:hAnsi="Times New Roman" w:cs="Times New Roman"/>
          <w:sz w:val="24"/>
          <w:szCs w:val="24"/>
        </w:rPr>
        <w:t xml:space="preserve"> lama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menjadikan</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pluralitas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Fenomena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mencerminkan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warisan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sejarah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bagian</w:t>
      </w:r>
      <w:proofErr w:type="spellEnd"/>
      <w:r w:rsidRPr="00214265">
        <w:rPr>
          <w:rFonts w:ascii="Times New Roman" w:hAnsi="Times New Roman" w:cs="Times New Roman"/>
          <w:sz w:val="24"/>
          <w:szCs w:val="24"/>
        </w:rPr>
        <w:t xml:space="preserve"> integral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bangsa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zaman dan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memusatkan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perhatian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p>
    <w:p w14:paraId="10FA984F"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Latar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mencermati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sejarah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panjang</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penuh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dan </w:t>
      </w:r>
      <w:proofErr w:type="spellStart"/>
      <w:r w:rsidRPr="00214265">
        <w:rPr>
          <w:rFonts w:ascii="Times New Roman" w:hAnsi="Times New Roman" w:cs="Times New Roman"/>
          <w:sz w:val="24"/>
          <w:szCs w:val="24"/>
        </w:rPr>
        <w:t>penjaga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keharmonisan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krusial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Pustaka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termasuk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karya-karya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terkemuka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teori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mengkaji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Indonesia.</w:t>
      </w:r>
    </w:p>
    <w:p w14:paraId="78B1CF5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Referensi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pustaka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pijakan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menjelaskan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erat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urgensi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cepat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imperatif</w:t>
      </w:r>
      <w:proofErr w:type="spellEnd"/>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memunculkan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w:t>
      </w:r>
    </w:p>
    <w:p w14:paraId="586CF342"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Pemunculan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pemicu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mengeksplorasi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faktor-faktor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menghambat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kajian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komprehensif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
      </w:r>
      <w:r w:rsidRPr="00214265">
        <w:rPr>
          <w:rFonts w:ascii="Times New Roman" w:hAnsi="Times New Roman" w:cs="Times New Roman"/>
          <w:sz w:val="24"/>
          <w:szCs w:val="24"/>
        </w:rPr>
        <w:t xml:space="preserve"> Selain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alternatif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diimplementasikan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teridentifikasi</w:t>
      </w:r>
      <w:proofErr w:type="spellEnd"/>
      <w:r w:rsidRPr="00214265">
        <w:rPr>
          <w:rFonts w:ascii="Times New Roman" w:hAnsi="Times New Roman" w:cs="Times New Roman"/>
          <w:sz w:val="24"/>
          <w:szCs w:val="24"/>
        </w:rPr>
        <w:t>.</w:t>
      </w:r>
    </w:p>
    <w:p w14:paraId="66BD081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Alternatif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wacana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diarahkan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formulasi</w:t>
      </w:r>
      <w:proofErr w:type="spellEnd"/>
      <w:r w:rsidRPr="00214265">
        <w:rPr>
          <w:rFonts w:ascii="Times New Roman" w:hAnsi="Times New Roman" w:cs="Times New Roman"/>
          <w:sz w:val="24"/>
          <w:szCs w:val="24"/>
        </w:rPr>
        <w:t xml:space="preserve"> strategi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diterapkan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wadah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akademis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p>
    <w:p w14:paraId="7CED11E7"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Tujuan </w:t>
      </w:r>
      <w:proofErr w:type="spellStart"/>
      <w:r w:rsidRPr="00214265">
        <w:rPr>
          <w:rFonts w:ascii="Times New Roman" w:hAnsi="Times New Roman" w:cs="Times New Roman"/>
          <w:sz w:val="24"/>
          <w:szCs w:val="24"/>
        </w:rPr>
        <w:t>utama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kegunaan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memperkukuh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Definisi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operasional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konsep-konsep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diperkenalkan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memastikan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jelas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2DD4D529"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kegunaan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diharapkan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mengundang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menawarkan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590264AD"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Metode </w:t>
      </w:r>
      <w:proofErr w:type="spellStart"/>
      <w:r w:rsidRPr="00214265">
        <w:rPr>
          <w:rFonts w:ascii="Times New Roman" w:hAnsi="Times New Roman" w:cs="Times New Roman"/>
          <w:b/>
          <w:bCs/>
          <w:sz w:val="24"/>
          <w:szCs w:val="24"/>
        </w:rPr>
        <w:t>Penelitian</w:t>
      </w:r>
      <w:proofErr w:type="spellEnd"/>
      <w:r w:rsidRPr="00214265">
        <w:rPr>
          <w:rFonts w:ascii="Times New Roman" w:hAnsi="Times New Roman" w:cs="Times New Roman"/>
          <w:b/>
          <w:bCs/>
          <w:sz w:val="24"/>
          <w:szCs w:val="24"/>
        </w:rPr>
        <w:t xml:space="preserve"> </w:t>
      </w:r>
    </w:p>
    <w:p w14:paraId="4BDD386F"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mengadopsi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kualitatif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desain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r w:rsidRPr="00214265">
        <w:rPr>
          <w:rStyle w:val="FootnoteReference"/>
          <w:rFonts w:ascii="Times New Roman" w:hAnsi="Times New Roman" w:cs="Times New Roman"/>
          <w:sz w:val="24"/>
          <w:szCs w:val="24"/>
        </w:rPr>
        <w:footnoteReference w:id="3"/>
      </w:r>
      <w:r w:rsidRPr="00214265">
        <w:rPr>
          <w:rFonts w:ascii="Times New Roman" w:hAnsi="Times New Roman" w:cs="Times New Roman"/>
          <w:sz w:val="24"/>
          <w:szCs w:val="24"/>
        </w:rPr>
        <w:t xml:space="preserve"> Lokasi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kota</w:t>
      </w:r>
      <w:proofErr w:type="spellEnd"/>
      <w:r w:rsidRPr="00214265">
        <w:rPr>
          <w:rFonts w:ascii="Times New Roman" w:hAnsi="Times New Roman" w:cs="Times New Roman"/>
          <w:sz w:val="24"/>
          <w:szCs w:val="24"/>
        </w:rPr>
        <w:t xml:space="preserve"> metropolitan, </w:t>
      </w:r>
      <w:proofErr w:type="spellStart"/>
      <w:r w:rsidRPr="00214265">
        <w:rPr>
          <w:rFonts w:ascii="Times New Roman" w:hAnsi="Times New Roman" w:cs="Times New Roman"/>
          <w:sz w:val="24"/>
          <w:szCs w:val="24"/>
        </w:rPr>
        <w:t>perkotaan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daerah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pedesaan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merangkul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kondisi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Subjek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para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dipilih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r w:rsidRPr="00214265">
        <w:rPr>
          <w:rFonts w:ascii="Times New Roman" w:hAnsi="Times New Roman" w:cs="Times New Roman"/>
          <w:i/>
          <w:iCs/>
          <w:sz w:val="24"/>
          <w:szCs w:val="24"/>
        </w:rPr>
        <w:t>purposive</w:t>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memperhatikan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variasi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latar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4"/>
      </w:r>
      <w:r w:rsidRPr="00214265">
        <w:rPr>
          <w:rFonts w:ascii="Times New Roman" w:hAnsi="Times New Roman" w:cs="Times New Roman"/>
          <w:sz w:val="24"/>
          <w:szCs w:val="24"/>
        </w:rPr>
        <w:t xml:space="preserve"> Proses </w:t>
      </w:r>
      <w:proofErr w:type="spellStart"/>
      <w:r w:rsidRPr="00214265">
        <w:rPr>
          <w:rFonts w:ascii="Times New Roman" w:hAnsi="Times New Roman" w:cs="Times New Roman"/>
          <w:sz w:val="24"/>
          <w:szCs w:val="24"/>
        </w:rPr>
        <w:t>pengumpulan</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Instrumen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daftar </w:t>
      </w:r>
      <w:proofErr w:type="spellStart"/>
      <w:r w:rsidRPr="00214265">
        <w:rPr>
          <w:rFonts w:ascii="Times New Roman" w:hAnsi="Times New Roman" w:cs="Times New Roman"/>
          <w:sz w:val="24"/>
          <w:szCs w:val="24"/>
        </w:rPr>
        <w:t>periksa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dikembangkan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sesuai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Verifikasi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triangulasi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dilakukan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memastikan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keabsahan</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ulang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berulang</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korelasi</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menggunakan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tematik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pola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mendapatkan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r w:rsidRPr="00214265">
        <w:rPr>
          <w:rStyle w:val="FootnoteReference"/>
          <w:rFonts w:ascii="Times New Roman" w:hAnsi="Times New Roman" w:cs="Times New Roman"/>
          <w:sz w:val="24"/>
          <w:szCs w:val="24"/>
        </w:rPr>
        <w:footnoteReference w:id="5"/>
      </w:r>
    </w:p>
    <w:p w14:paraId="00CAD045"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Hasil dan </w:t>
      </w:r>
      <w:proofErr w:type="spellStart"/>
      <w:r w:rsidRPr="00214265">
        <w:rPr>
          <w:rFonts w:ascii="Times New Roman" w:hAnsi="Times New Roman" w:cs="Times New Roman"/>
          <w:b/>
          <w:bCs/>
          <w:sz w:val="24"/>
          <w:szCs w:val="24"/>
        </w:rPr>
        <w:t>Pembahasan</w:t>
      </w:r>
      <w:proofErr w:type="spellEnd"/>
      <w:r w:rsidRPr="00214265">
        <w:rPr>
          <w:rFonts w:ascii="Times New Roman" w:hAnsi="Times New Roman" w:cs="Times New Roman"/>
          <w:b/>
          <w:bCs/>
          <w:sz w:val="24"/>
          <w:szCs w:val="24"/>
        </w:rPr>
        <w:t xml:space="preserve"> </w:t>
      </w:r>
    </w:p>
    <w:p w14:paraId="7FA4A7A7"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Pengkajian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mengungkap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hasil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terletak</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dan </w:t>
      </w:r>
      <w:proofErr w:type="spellStart"/>
      <w:r w:rsidRPr="00214265">
        <w:rPr>
          <w:rFonts w:ascii="Times New Roman" w:hAnsi="Times New Roman" w:cs="Times New Roman"/>
          <w:sz w:val="24"/>
          <w:szCs w:val="24"/>
        </w:rPr>
        <w:t>pemegang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otoritas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khas</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6"/>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memadukan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cahaya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tingkat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lastRenderedPageBreak/>
        <w:t>pembahasan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berikut</w:t>
      </w:r>
      <w:proofErr w:type="spellEnd"/>
      <w:r w:rsidRPr="00214265">
        <w:rPr>
          <w:rFonts w:ascii="Times New Roman" w:hAnsi="Times New Roman" w:cs="Times New Roman"/>
          <w:sz w:val="24"/>
          <w:szCs w:val="24"/>
        </w:rPr>
        <w:t xml:space="preserve">, kami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mengeksplorasi</w:t>
      </w:r>
      <w:proofErr w:type="spellEnd"/>
      <w:r w:rsidRPr="00214265">
        <w:rPr>
          <w:rFonts w:ascii="Times New Roman" w:hAnsi="Times New Roman" w:cs="Times New Roman"/>
          <w:sz w:val="24"/>
          <w:szCs w:val="24"/>
        </w:rPr>
        <w:t xml:space="preserve"> lima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utama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hasil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implikasinya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kontemporer</w:t>
      </w:r>
      <w:proofErr w:type="spellEnd"/>
      <w:r w:rsidRPr="00214265">
        <w:rPr>
          <w:rFonts w:ascii="Times New Roman" w:hAnsi="Times New Roman" w:cs="Times New Roman"/>
          <w:sz w:val="24"/>
          <w:szCs w:val="24"/>
        </w:rPr>
        <w:t xml:space="preserve"> di Indonesia.</w:t>
      </w:r>
    </w:p>
    <w:p w14:paraId="6AC0A189"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p>
    <w:p w14:paraId="7B01F17D"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sentral</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khususnya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pemeliharaan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aktor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terlibat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7"/>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luas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kehadiran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lintas</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mendorong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penguatan</w:t>
      </w:r>
      <w:proofErr w:type="spellEnd"/>
      <w:r w:rsidRPr="00214265">
        <w:rPr>
          <w:rFonts w:ascii="Times New Roman" w:hAnsi="Times New Roman" w:cs="Times New Roman"/>
          <w:sz w:val="24"/>
          <w:szCs w:val="24"/>
        </w:rPr>
        <w:t xml:space="preserve"> rasa </w:t>
      </w:r>
      <w:proofErr w:type="spellStart"/>
      <w:r w:rsidRPr="00214265">
        <w:rPr>
          <w:rFonts w:ascii="Times New Roman" w:hAnsi="Times New Roman" w:cs="Times New Roman"/>
          <w:sz w:val="24"/>
          <w:szCs w:val="24"/>
        </w:rPr>
        <w:t>persatuan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kondusif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mengurangi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potensi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konflik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memupuk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149A37C2"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meresap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pandangan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sebuah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terakar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kontinu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menyuarakan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8"/>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menimbulkan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pertanyaan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mungkin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peningkatan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lapisan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7B59BDF4"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Implikasi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kontemporer</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memperlihatkan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urgensi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kolaborasi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pemerintah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9"/>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kekayaan</w:t>
      </w:r>
      <w:proofErr w:type="spellEnd"/>
      <w:r w:rsidRPr="00214265">
        <w:rPr>
          <w:rFonts w:ascii="Times New Roman" w:hAnsi="Times New Roman" w:cs="Times New Roman"/>
          <w:sz w:val="24"/>
          <w:szCs w:val="24"/>
        </w:rPr>
        <w:t xml:space="preserve"> Indonesia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saja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seluruh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global, </w:t>
      </w:r>
      <w:proofErr w:type="spellStart"/>
      <w:r w:rsidRPr="00214265">
        <w:rPr>
          <w:rFonts w:ascii="Times New Roman" w:hAnsi="Times New Roman" w:cs="Times New Roman"/>
          <w:sz w:val="24"/>
          <w:szCs w:val="24"/>
        </w:rPr>
        <w:t>sinergi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r w:rsidRPr="00214265">
        <w:rPr>
          <w:rFonts w:ascii="Times New Roman" w:hAnsi="Times New Roman" w:cs="Times New Roman"/>
          <w:sz w:val="24"/>
          <w:szCs w:val="24"/>
        </w:rPr>
        <w:lastRenderedPageBreak/>
        <w:t xml:space="preserve">modal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keamanan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Tidak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diabaikan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arti </w:t>
      </w:r>
      <w:proofErr w:type="spellStart"/>
      <w:r w:rsidRPr="00214265">
        <w:rPr>
          <w:rFonts w:ascii="Times New Roman" w:hAnsi="Times New Roman" w:cs="Times New Roman"/>
          <w:sz w:val="24"/>
          <w:szCs w:val="24"/>
        </w:rPr>
        <w:t>sempit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tatanan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partisipan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menandakan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berfungsi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
    <w:p w14:paraId="3CD9277C" w14:textId="77777777" w:rsidR="00214265" w:rsidRPr="00214265" w:rsidRDefault="00214265" w:rsidP="00214265">
      <w:pPr>
        <w:spacing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mengakhiri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pembahasan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dicatat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moral,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0"/>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mengenali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garda </w:t>
      </w:r>
      <w:proofErr w:type="spellStart"/>
      <w:r w:rsidRPr="00214265">
        <w:rPr>
          <w:rFonts w:ascii="Times New Roman" w:hAnsi="Times New Roman" w:cs="Times New Roman"/>
          <w:sz w:val="24"/>
          <w:szCs w:val="24"/>
        </w:rPr>
        <w:t>terdepan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melestarikan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71CCA4F9"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
    <w:p w14:paraId="52E1D7FF"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kaya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kehadiran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simbolis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perekat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mana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tanpa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batasan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hambatan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1"/>
      </w:r>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diikuti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penguatan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partisipasi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ritual, </w:t>
      </w:r>
      <w:proofErr w:type="spellStart"/>
      <w:r w:rsidRPr="00214265">
        <w:rPr>
          <w:rFonts w:ascii="Times New Roman" w:hAnsi="Times New Roman" w:cs="Times New Roman"/>
          <w:sz w:val="24"/>
          <w:szCs w:val="24"/>
        </w:rPr>
        <w:t>doa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gambaran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integrasi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dipelihara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intelektual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praktek</w:t>
      </w:r>
      <w:proofErr w:type="spellEnd"/>
      <w:r w:rsidRPr="00214265">
        <w:rPr>
          <w:rFonts w:ascii="Times New Roman" w:hAnsi="Times New Roman" w:cs="Times New Roman"/>
          <w:sz w:val="24"/>
          <w:szCs w:val="24"/>
        </w:rPr>
        <w:t xml:space="preserve"> ibadah dan </w:t>
      </w:r>
      <w:proofErr w:type="spellStart"/>
      <w:r w:rsidRPr="00214265">
        <w:rPr>
          <w:rFonts w:ascii="Times New Roman" w:hAnsi="Times New Roman" w:cs="Times New Roman"/>
          <w:sz w:val="24"/>
          <w:szCs w:val="24"/>
        </w:rPr>
        <w:t>aktivitas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p>
    <w:p w14:paraId="3D282F1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momentum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Masyarakat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langsung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menyiratkan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kerjasama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Kondisi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meruntuhkan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stereotip</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prasangka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toleransi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diabaikan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tertentu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interpretasi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gesekan</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cara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2"/>
      </w:r>
    </w:p>
    <w:p w14:paraId="49A2B2C9"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diakui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pengakuan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penghormatan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mendorong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menginternalisasi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inklusivitas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memperkukuh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perekat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menginspirasi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lintas</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semacam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merespons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tuntutan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dinamis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terintegrasi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3"/>
      </w:r>
    </w:p>
    <w:p w14:paraId="01B19C6B"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pemeliharaan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dipahami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intelektual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dialami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p>
    <w:p w14:paraId="15CA6EB8"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Selaras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Nilai </w:t>
      </w:r>
      <w:proofErr w:type="spellStart"/>
      <w:r w:rsidRPr="00214265">
        <w:rPr>
          <w:rFonts w:ascii="Times New Roman" w:hAnsi="Times New Roman" w:cs="Times New Roman"/>
          <w:sz w:val="24"/>
          <w:szCs w:val="24"/>
        </w:rPr>
        <w:t>Toleransi</w:t>
      </w:r>
      <w:proofErr w:type="spellEnd"/>
    </w:p>
    <w:p w14:paraId="12064504"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tulisan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mengkonfirmasi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mengamplifikasi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inklusivitas</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tergambar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menyuarakan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inti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4"/>
      </w:r>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sangat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menjelaskan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sentral</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diartikulasikan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memandu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menggambarkan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menjadikan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bagian</w:t>
      </w:r>
      <w:proofErr w:type="spellEnd"/>
      <w:r w:rsidRPr="00214265">
        <w:rPr>
          <w:rFonts w:ascii="Times New Roman" w:hAnsi="Times New Roman" w:cs="Times New Roman"/>
          <w:sz w:val="24"/>
          <w:szCs w:val="24"/>
        </w:rPr>
        <w:t xml:space="preserve"> integral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mengadopsi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sesama</w:t>
      </w:r>
      <w:proofErr w:type="spellEnd"/>
      <w:r w:rsidRPr="00214265">
        <w:rPr>
          <w:rFonts w:ascii="Times New Roman" w:hAnsi="Times New Roman" w:cs="Times New Roman"/>
          <w:sz w:val="24"/>
          <w:szCs w:val="24"/>
        </w:rPr>
        <w:t>.</w:t>
      </w:r>
    </w:p>
    <w:p w14:paraId="15926F77"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selaras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mencatat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berbicara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kepada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penganut</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tertentu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diakses</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latar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5"/>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multikultural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ditemukan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titik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awal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mengambil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panduan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arahan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mencapai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2DCAE6DF"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diartikulasikan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dianggap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manifesto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menggambarkan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mengajak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menjalankan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semangat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6"/>
      </w:r>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instrumen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kesadaran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kolektif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tercermin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dihubungkan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pendidikan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bacaan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sarana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mentalitas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kalangan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representasi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alat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mentalitas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dibutuhkan</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5C07CD28"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terungkap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memadai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yakin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mengadvokasi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setiap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langkah-langkahnya</w:t>
      </w:r>
      <w:proofErr w:type="spellEnd"/>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wacana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325650B2"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p>
    <w:p w14:paraId="34629C59"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mencapai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akibat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stereotip</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berkembang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seharusnya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bertindak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berbicara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7"/>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pembinaan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terbuka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dan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meruntuhkan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dinding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pemisah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situasi</w:t>
      </w:r>
      <w:proofErr w:type="spellEnd"/>
      <w:r w:rsidRPr="00214265">
        <w:rPr>
          <w:rFonts w:ascii="Times New Roman" w:hAnsi="Times New Roman" w:cs="Times New Roman"/>
          <w:sz w:val="24"/>
          <w:szCs w:val="24"/>
        </w:rPr>
        <w:t xml:space="preserve"> di mana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sering</w:t>
      </w:r>
      <w:proofErr w:type="spellEnd"/>
      <w:r w:rsidRPr="00214265">
        <w:rPr>
          <w:rFonts w:ascii="Times New Roman" w:hAnsi="Times New Roman" w:cs="Times New Roman"/>
          <w:sz w:val="24"/>
          <w:szCs w:val="24"/>
        </w:rPr>
        <w:t xml:space="preserve"> kali </w:t>
      </w:r>
      <w:proofErr w:type="spellStart"/>
      <w:r w:rsidRPr="00214265">
        <w:rPr>
          <w:rFonts w:ascii="Times New Roman" w:hAnsi="Times New Roman" w:cs="Times New Roman"/>
          <w:sz w:val="24"/>
          <w:szCs w:val="24"/>
        </w:rPr>
        <w:t>dipertanyakan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disalahartikan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tetap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tekad</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membela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Strategi </w:t>
      </w:r>
      <w:proofErr w:type="spellStart"/>
      <w:r w:rsidRPr="00214265">
        <w:rPr>
          <w:rFonts w:ascii="Times New Roman" w:hAnsi="Times New Roman" w:cs="Times New Roman"/>
          <w:sz w:val="24"/>
          <w:szCs w:val="24"/>
        </w:rPr>
        <w:t>komunikasi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meningkatkan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baik</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
    <w:p w14:paraId="4614DA7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interpretasi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substansial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Dalam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ketidaksepahaman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potensi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konflik</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benar</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kontekstual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menghindarkan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penafsiran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merusak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8"/>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tantangan-tantangan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tetap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tegas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pejuang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harapan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waktu</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berkelanjutan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290D38A2"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Dalam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ulama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memanfaatkan</w:t>
      </w:r>
      <w:proofErr w:type="spellEnd"/>
      <w:r w:rsidRPr="00214265">
        <w:rPr>
          <w:rFonts w:ascii="Times New Roman" w:hAnsi="Times New Roman" w:cs="Times New Roman"/>
          <w:sz w:val="24"/>
          <w:szCs w:val="24"/>
        </w:rPr>
        <w:t xml:space="preserve"> media </w:t>
      </w:r>
      <w:proofErr w:type="spellStart"/>
      <w:r w:rsidRPr="00214265">
        <w:rPr>
          <w:rFonts w:ascii="Times New Roman" w:hAnsi="Times New Roman" w:cs="Times New Roman"/>
          <w:sz w:val="24"/>
          <w:szCs w:val="24"/>
        </w:rPr>
        <w:t>massa</w:t>
      </w:r>
      <w:proofErr w:type="spellEnd"/>
      <w:r w:rsidRPr="00214265">
        <w:rPr>
          <w:rFonts w:ascii="Times New Roman" w:hAnsi="Times New Roman" w:cs="Times New Roman"/>
          <w:sz w:val="24"/>
          <w:szCs w:val="24"/>
        </w:rPr>
        <w:t xml:space="preserve"> dan platform digital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sarana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menyebarkan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Meningkatkan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visibilitas</w:t>
      </w:r>
      <w:proofErr w:type="spellEnd"/>
      <w:r w:rsidRPr="00214265">
        <w:rPr>
          <w:rFonts w:ascii="Times New Roman" w:hAnsi="Times New Roman" w:cs="Times New Roman"/>
          <w:sz w:val="24"/>
          <w:szCs w:val="24"/>
        </w:rPr>
        <w:t xml:space="preserve"> ulama dan </w:t>
      </w:r>
      <w:proofErr w:type="spellStart"/>
      <w:r w:rsidRPr="00214265">
        <w:rPr>
          <w:rFonts w:ascii="Times New Roman" w:hAnsi="Times New Roman" w:cs="Times New Roman"/>
          <w:sz w:val="24"/>
          <w:szCs w:val="24"/>
        </w:rPr>
        <w:t>menyampaikan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media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merubah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mungkin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Perjuangan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mengembangkan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kapasitas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9"/>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ditunjukkan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teladan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turut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serta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7B4263EF"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menyadari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proses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memerlukan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waktu</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berkelanjutan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semua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pihak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termasuk</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3D00B3CC"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Rohani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w:t>
      </w:r>
    </w:p>
    <w:p w14:paraId="5EFE6935"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merupakan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aspek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spiritual,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fasilitator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pembentukan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citra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w:t>
      </w:r>
      <w:proofErr w:type="spellStart"/>
      <w:r w:rsidRPr="00214265">
        <w:rPr>
          <w:rFonts w:ascii="Times New Roman" w:hAnsi="Times New Roman" w:cs="Times New Roman"/>
          <w:sz w:val="24"/>
          <w:szCs w:val="24"/>
        </w:rPr>
        <w:t>tanah</w:t>
      </w:r>
      <w:proofErr w:type="spellEnd"/>
      <w:r w:rsidRPr="00214265">
        <w:rPr>
          <w:rFonts w:ascii="Times New Roman" w:hAnsi="Times New Roman" w:cs="Times New Roman"/>
          <w:sz w:val="24"/>
          <w:szCs w:val="24"/>
        </w:rPr>
        <w:t xml:space="preserve"> air.</w:t>
      </w:r>
      <w:r w:rsidRPr="00214265">
        <w:rPr>
          <w:rStyle w:val="FootnoteReference"/>
          <w:rFonts w:ascii="Times New Roman" w:hAnsi="Times New Roman" w:cs="Times New Roman"/>
          <w:sz w:val="24"/>
          <w:szCs w:val="24"/>
        </w:rPr>
        <w:footnoteReference w:id="20"/>
      </w:r>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figur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p>
    <w:p w14:paraId="6116F6C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membimbing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menuju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Keseimbangan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kepedulian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ditunjukkan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1"/>
      </w:r>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merasakan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mengajarkan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kebenaran</w:t>
      </w:r>
      <w:proofErr w:type="spellEnd"/>
      <w:r w:rsidRPr="00214265">
        <w:rPr>
          <w:rFonts w:ascii="Times New Roman" w:hAnsi="Times New Roman" w:cs="Times New Roman"/>
          <w:sz w:val="24"/>
          <w:szCs w:val="24"/>
        </w:rPr>
        <w:t xml:space="preserve"> </w:t>
      </w:r>
      <w:r w:rsidRPr="00214265">
        <w:rPr>
          <w:rFonts w:ascii="Times New Roman" w:hAnsi="Times New Roman" w:cs="Times New Roman"/>
          <w:sz w:val="24"/>
          <w:szCs w:val="24"/>
        </w:rPr>
        <w:lastRenderedPageBreak/>
        <w:t xml:space="preserve">spiritual,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w:t>
      </w:r>
    </w:p>
    <w:p w14:paraId="49056EE1"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pertemuan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pembicaraan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berkutat</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perbandingan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membahas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isu-isu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kemanusiaan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konstruktif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ketegangan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jembatan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p>
    <w:p w14:paraId="707B97F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penggerak</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memfasilitasi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pertemuan</w:t>
      </w:r>
      <w:proofErr w:type="spellEnd"/>
      <w:r w:rsidRPr="00214265">
        <w:rPr>
          <w:rFonts w:ascii="Times New Roman" w:hAnsi="Times New Roman" w:cs="Times New Roman"/>
          <w:sz w:val="24"/>
          <w:szCs w:val="24"/>
        </w:rPr>
        <w:t xml:space="preserve"> formal,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berperan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menjembatani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kesenjangan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tingkat</w:t>
      </w:r>
      <w:proofErr w:type="spellEnd"/>
      <w:r w:rsidRPr="00214265">
        <w:rPr>
          <w:rFonts w:ascii="Times New Roman" w:hAnsi="Times New Roman" w:cs="Times New Roman"/>
          <w:sz w:val="24"/>
          <w:szCs w:val="24"/>
        </w:rPr>
        <w:t xml:space="preserve"> informal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Aktivitas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keterikatan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komunitas</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erat</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2"/>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tambahan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Dalam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representasi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kebijakan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memperlihatkan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contoh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memperlakukan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p>
    <w:p w14:paraId="50828E1D"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heterogen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arahan</w:t>
      </w:r>
      <w:proofErr w:type="spellEnd"/>
      <w:r w:rsidRPr="00214265">
        <w:rPr>
          <w:rFonts w:ascii="Times New Roman" w:hAnsi="Times New Roman" w:cs="Times New Roman"/>
          <w:sz w:val="24"/>
          <w:szCs w:val="24"/>
        </w:rPr>
        <w:t xml:space="preserve"> moral dan </w:t>
      </w:r>
      <w:proofErr w:type="spellStart"/>
      <w:r w:rsidRPr="00214265">
        <w:rPr>
          <w:rFonts w:ascii="Times New Roman" w:hAnsi="Times New Roman" w:cs="Times New Roman"/>
          <w:sz w:val="24"/>
          <w:szCs w:val="24"/>
        </w:rPr>
        <w:t>etika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3"/>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teladan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memotivasi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merespons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berkembang</w:t>
      </w:r>
      <w:proofErr w:type="spellEnd"/>
      <w:r w:rsidRPr="00214265">
        <w:rPr>
          <w:rFonts w:ascii="Times New Roman" w:hAnsi="Times New Roman" w:cs="Times New Roman"/>
          <w:sz w:val="24"/>
          <w:szCs w:val="24"/>
        </w:rPr>
        <w:t>.</w:t>
      </w:r>
    </w:p>
    <w:p w14:paraId="3B92DA35" w14:textId="77777777" w:rsidR="00214265" w:rsidRPr="00214265" w:rsidRDefault="00214265" w:rsidP="00214265">
      <w:pPr>
        <w:spacing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Studi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ganda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melengkapi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yakni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kedalaman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kebijaksanaan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berdialog</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perspektif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menjawab</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kepercayaan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sementara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pilar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merayakan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jalan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menuju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p>
    <w:p w14:paraId="0BC9FDC5"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Kesimpulan </w:t>
      </w:r>
    </w:p>
    <w:p w14:paraId="5F19323A"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menjelajahi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kesimpulan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mengungkapkan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signifikansi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Keseluruhan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memaparkan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terciptanya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terbatas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meresap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aspek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w:t>
      </w:r>
    </w:p>
    <w:p w14:paraId="64A8B5BB"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Selanjutnya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sebagaimana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tercermin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menandai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integritas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dedikasi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jembatan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
    <w:p w14:paraId="3750BEE5"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menggarisbawahi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kolaborasi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antarstakeholder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Peningkatan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serta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pemerintah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memitigasi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ganda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ulama </w:t>
      </w:r>
      <w:proofErr w:type="spellStart"/>
      <w:r w:rsidRPr="00214265">
        <w:rPr>
          <w:rFonts w:ascii="Times New Roman" w:hAnsi="Times New Roman" w:cs="Times New Roman"/>
          <w:sz w:val="24"/>
          <w:szCs w:val="24"/>
        </w:rPr>
        <w:t>mampu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ketegangan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dipimpin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membahas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isu-isu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kemanusiaan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sama</w:t>
      </w:r>
      <w:proofErr w:type="spellEnd"/>
      <w:r w:rsidRPr="00214265">
        <w:rPr>
          <w:rFonts w:ascii="Times New Roman" w:hAnsi="Times New Roman" w:cs="Times New Roman"/>
          <w:sz w:val="24"/>
          <w:szCs w:val="24"/>
        </w:rPr>
        <w:t xml:space="preserve"> lain.</w:t>
      </w:r>
    </w:p>
    <w:p w14:paraId="2FB8299D"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Akhirnya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kesimpulan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menggarisbawahi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moral dan </w:t>
      </w:r>
      <w:proofErr w:type="spellStart"/>
      <w:r w:rsidRPr="00214265">
        <w:rPr>
          <w:rFonts w:ascii="Times New Roman" w:hAnsi="Times New Roman" w:cs="Times New Roman"/>
          <w:sz w:val="24"/>
          <w:szCs w:val="24"/>
        </w:rPr>
        <w:t>konkrit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heterogen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 xml:space="preserve"> di Indonesia. Kesimpulan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menegaskan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langkah</w:t>
      </w:r>
      <w:proofErr w:type="spellEnd"/>
      <w:r w:rsidRPr="00214265">
        <w:rPr>
          <w:rFonts w:ascii="Times New Roman" w:hAnsi="Times New Roman" w:cs="Times New Roman"/>
          <w:sz w:val="24"/>
          <w:szCs w:val="24"/>
        </w:rPr>
        <w:t xml:space="preserve"> vital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w:t>
      </w:r>
    </w:p>
    <w:p w14:paraId="47213E62"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Daftar Pustaka</w:t>
      </w:r>
    </w:p>
    <w:p w14:paraId="616300FA"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fldChar w:fldCharType="begin"/>
      </w:r>
      <w:r w:rsidRPr="00214265">
        <w:rPr>
          <w:rFonts w:ascii="Times New Roman" w:hAnsi="Times New Roman" w:cs="Times New Roman"/>
          <w:sz w:val="24"/>
          <w:szCs w:val="24"/>
        </w:rPr>
        <w:instrText xml:space="preserve"> ADDIN ZOTERO_BIBL {"uncited":[],"omitted":[],"custom":[]} CSL_BIBLIOGRAPHY </w:instrText>
      </w:r>
      <w:r w:rsidRPr="00214265">
        <w:rPr>
          <w:rFonts w:ascii="Times New Roman" w:hAnsi="Times New Roman" w:cs="Times New Roman"/>
          <w:sz w:val="24"/>
          <w:szCs w:val="24"/>
        </w:rPr>
        <w:fldChar w:fldCharType="separate"/>
      </w:r>
      <w:r w:rsidRPr="00214265">
        <w:rPr>
          <w:rFonts w:ascii="Times New Roman" w:hAnsi="Times New Roman" w:cs="Times New Roman"/>
          <w:sz w:val="24"/>
          <w:szCs w:val="24"/>
        </w:rPr>
        <w:t xml:space="preserve">Baihaki, Egi Sukma. “Islam dalam Merespons Era Digital.” </w:t>
      </w:r>
      <w:r w:rsidRPr="00214265">
        <w:rPr>
          <w:rFonts w:ascii="Times New Roman" w:hAnsi="Times New Roman" w:cs="Times New Roman"/>
          <w:i/>
          <w:iCs/>
          <w:sz w:val="24"/>
          <w:szCs w:val="24"/>
        </w:rPr>
        <w:t>SANGKéP: Jurnal Kajian Sosial Keagamaan</w:t>
      </w:r>
      <w:r w:rsidRPr="00214265">
        <w:rPr>
          <w:rFonts w:ascii="Times New Roman" w:hAnsi="Times New Roman" w:cs="Times New Roman"/>
          <w:sz w:val="24"/>
          <w:szCs w:val="24"/>
        </w:rPr>
        <w:t xml:space="preserve"> 3, no. 2 (25 Juli 2020): 185–208. https://doi.org/10.20414/sangkep.v3i2.1926.</w:t>
      </w:r>
    </w:p>
    <w:p w14:paraId="2E296CAF"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Budiarto, Gema. “Indonesia dalam Pusaran Globalisasi dan Pengaruhnya Terhadap Krisis Moral dan Karakter.” </w:t>
      </w:r>
      <w:r w:rsidRPr="00214265">
        <w:rPr>
          <w:rFonts w:ascii="Times New Roman" w:hAnsi="Times New Roman" w:cs="Times New Roman"/>
          <w:i/>
          <w:iCs/>
          <w:sz w:val="24"/>
          <w:szCs w:val="24"/>
        </w:rPr>
        <w:t>Pamator Journal</w:t>
      </w:r>
      <w:r w:rsidRPr="00214265">
        <w:rPr>
          <w:rFonts w:ascii="Times New Roman" w:hAnsi="Times New Roman" w:cs="Times New Roman"/>
          <w:sz w:val="24"/>
          <w:szCs w:val="24"/>
        </w:rPr>
        <w:t xml:space="preserve"> 13, no. 1 (4 April 2020): 50–56. https://doi.org/10.21107/pamator.v13i1.6912.</w:t>
      </w:r>
    </w:p>
    <w:p w14:paraId="063B44B4"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Fitriani, Shofiah. “Keberagaman dan Toleransi Antar Umat Beragama.” </w:t>
      </w:r>
      <w:r w:rsidRPr="00214265">
        <w:rPr>
          <w:rFonts w:ascii="Times New Roman" w:hAnsi="Times New Roman" w:cs="Times New Roman"/>
          <w:i/>
          <w:iCs/>
          <w:sz w:val="24"/>
          <w:szCs w:val="24"/>
        </w:rPr>
        <w:t>Analisis: Jurnal Studi Keislaman</w:t>
      </w:r>
      <w:r w:rsidRPr="00214265">
        <w:rPr>
          <w:rFonts w:ascii="Times New Roman" w:hAnsi="Times New Roman" w:cs="Times New Roman"/>
          <w:sz w:val="24"/>
          <w:szCs w:val="24"/>
        </w:rPr>
        <w:t xml:space="preserve"> 20, no. 2 (30 Desember 2020): 179–92. https://doi.org/10.24042/ajsk.v20i2.5489.</w:t>
      </w:r>
    </w:p>
    <w:p w14:paraId="2AC759AD"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Hadi Ismanto. “Komunikasi Politik Kyai dalam Pengembangan Pesantren (Studi Analisis Terhadap Pondok Pesantren Sunan Drajat Lamongan).” </w:t>
      </w:r>
      <w:r w:rsidRPr="00214265">
        <w:rPr>
          <w:rFonts w:ascii="Times New Roman" w:hAnsi="Times New Roman" w:cs="Times New Roman"/>
          <w:i/>
          <w:iCs/>
          <w:sz w:val="24"/>
          <w:szCs w:val="24"/>
        </w:rPr>
        <w:t>JOSH: Journal of Sharia</w:t>
      </w:r>
      <w:r w:rsidRPr="00214265">
        <w:rPr>
          <w:rFonts w:ascii="Times New Roman" w:hAnsi="Times New Roman" w:cs="Times New Roman"/>
          <w:sz w:val="24"/>
          <w:szCs w:val="24"/>
        </w:rPr>
        <w:t xml:space="preserve"> 2, no. 02 (30 Juni 2023): 101–9. https://doi.org/10.55352/josh.v2i2.542.</w:t>
      </w:r>
    </w:p>
    <w:p w14:paraId="3CC802B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Hasanah, Rika Khusnul, Nina Yudha Aryanti, Anna Agustina, dan Nanang Trenggono. “Dialektika tokoh agama dalam menjaga kerukunan.” </w:t>
      </w:r>
      <w:r w:rsidRPr="00214265">
        <w:rPr>
          <w:rFonts w:ascii="Times New Roman" w:hAnsi="Times New Roman" w:cs="Times New Roman"/>
          <w:i/>
          <w:iCs/>
          <w:sz w:val="24"/>
          <w:szCs w:val="24"/>
        </w:rPr>
        <w:t>Bricolage : Jurnal Magister Ilmu Komunikasi</w:t>
      </w:r>
      <w:r w:rsidRPr="00214265">
        <w:rPr>
          <w:rFonts w:ascii="Times New Roman" w:hAnsi="Times New Roman" w:cs="Times New Roman"/>
          <w:sz w:val="24"/>
          <w:szCs w:val="24"/>
        </w:rPr>
        <w:t xml:space="preserve"> 9, no. 1 (9 Maret 2023): 117. https://doi.org/10.30813/bricolage.v9i1.3793.</w:t>
      </w:r>
    </w:p>
    <w:p w14:paraId="601DCBA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Hasanah, Risalatul, dan Mohammad Kosim. “Analisis Gaya Kepemimpinan Kharismatik dalam Memelihara Nilai-Nilai Tradisi Kepesantrenan Tradisional di Pondok Pesantren Nurul Huda Kamundung Sampang.” </w:t>
      </w:r>
      <w:r w:rsidRPr="00214265">
        <w:rPr>
          <w:rFonts w:ascii="Times New Roman" w:hAnsi="Times New Roman" w:cs="Times New Roman"/>
          <w:i/>
          <w:iCs/>
          <w:sz w:val="24"/>
          <w:szCs w:val="24"/>
        </w:rPr>
        <w:t>re-JIEM (Research Journal of Islamic Education Management)</w:t>
      </w:r>
      <w:r w:rsidRPr="00214265">
        <w:rPr>
          <w:rFonts w:ascii="Times New Roman" w:hAnsi="Times New Roman" w:cs="Times New Roman"/>
          <w:sz w:val="24"/>
          <w:szCs w:val="24"/>
        </w:rPr>
        <w:t xml:space="preserve"> 4, no. 1 (30 Juni 2021): 72–85. https://doi.org/10.19105/re-jiem.v4i1.4820.</w:t>
      </w:r>
    </w:p>
    <w:p w14:paraId="721B7C78"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Hasibuan, Ahmad Tarmizi, dan Ely Rahmawati. “Pendidikan Islam Informal dan Peran Sumber Daya Manusia Dalam Perkembangan Masyarakat: Studi Evaluasi Teoretis.” </w:t>
      </w:r>
      <w:r w:rsidRPr="00214265">
        <w:rPr>
          <w:rFonts w:ascii="Times New Roman" w:hAnsi="Times New Roman" w:cs="Times New Roman"/>
          <w:i/>
          <w:iCs/>
          <w:sz w:val="24"/>
          <w:szCs w:val="24"/>
        </w:rPr>
        <w:t>Tarbiyatuna: Jurnal Pendidikan Islam</w:t>
      </w:r>
      <w:r w:rsidRPr="00214265">
        <w:rPr>
          <w:rFonts w:ascii="Times New Roman" w:hAnsi="Times New Roman" w:cs="Times New Roman"/>
          <w:sz w:val="24"/>
          <w:szCs w:val="24"/>
        </w:rPr>
        <w:t xml:space="preserve"> 15, no. 1 (15 Februari 2022): 24. https://doi.org/10.36835/tarbiyatuna.v15i1.1182.</w:t>
      </w:r>
    </w:p>
    <w:p w14:paraId="2382F28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Hastuti, Wulan, Muhammad Yusuf Wibisono, dan Mohammad Taufiq Rahman. “Agama dan Budaya di Pusaran Globalisasi Kontemporer.” </w:t>
      </w:r>
      <w:r w:rsidRPr="00214265">
        <w:rPr>
          <w:rFonts w:ascii="Times New Roman" w:hAnsi="Times New Roman" w:cs="Times New Roman"/>
          <w:i/>
          <w:iCs/>
          <w:sz w:val="24"/>
          <w:szCs w:val="24"/>
        </w:rPr>
        <w:t>Integritas Terbuka: Peace and Interfaith Studies</w:t>
      </w:r>
      <w:r w:rsidRPr="00214265">
        <w:rPr>
          <w:rFonts w:ascii="Times New Roman" w:hAnsi="Times New Roman" w:cs="Times New Roman"/>
          <w:sz w:val="24"/>
          <w:szCs w:val="24"/>
        </w:rPr>
        <w:t xml:space="preserve"> 2, no. 1 (5 Mei 2023): 47–58. https://doi.org/10.59029/int.v2i1.9.</w:t>
      </w:r>
    </w:p>
    <w:p w14:paraId="719E939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Inayatillah, Inayatillah. “Moderasi Beragama di Kalangan Milenial Peluang, Tantangan, Kompleksitas dan Tawaran Solusi.” </w:t>
      </w:r>
      <w:r w:rsidRPr="00214265">
        <w:rPr>
          <w:rFonts w:ascii="Times New Roman" w:hAnsi="Times New Roman" w:cs="Times New Roman"/>
          <w:i/>
          <w:iCs/>
          <w:sz w:val="24"/>
          <w:szCs w:val="24"/>
        </w:rPr>
        <w:t>Tazkir : Jurnal Penelitian Ilmu-ilmu Sosial dan Keislaman</w:t>
      </w:r>
      <w:r w:rsidRPr="00214265">
        <w:rPr>
          <w:rFonts w:ascii="Times New Roman" w:hAnsi="Times New Roman" w:cs="Times New Roman"/>
          <w:sz w:val="24"/>
          <w:szCs w:val="24"/>
        </w:rPr>
        <w:t xml:space="preserve"> 7, no. 1 (30 Juni 2021): 123–42. https://doi.org/10.24952/tazkir.v7i1.4235.</w:t>
      </w:r>
    </w:p>
    <w:p w14:paraId="6B90AEF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Jamilah, Imroatun. “Menggali Nilai-nilai Toleransi dalam Al-Qur’an dan Urgensinya dalam Kehidupan Bermasyarakat: Aplikasi Pendekatan Ma‘nā cum Maghzā pada QS. Al-Kāfirūn (109): 1-6.” </w:t>
      </w:r>
      <w:r w:rsidRPr="00214265">
        <w:rPr>
          <w:rFonts w:ascii="Times New Roman" w:hAnsi="Times New Roman" w:cs="Times New Roman"/>
          <w:i/>
          <w:iCs/>
          <w:sz w:val="24"/>
          <w:szCs w:val="24"/>
        </w:rPr>
        <w:t>REVELATIA Jurnal Ilmu al-Qur`an dan Tafsir</w:t>
      </w:r>
      <w:r w:rsidRPr="00214265">
        <w:rPr>
          <w:rFonts w:ascii="Times New Roman" w:hAnsi="Times New Roman" w:cs="Times New Roman"/>
          <w:sz w:val="24"/>
          <w:szCs w:val="24"/>
        </w:rPr>
        <w:t xml:space="preserve"> 4, no. 1 (16 Juni 2023): 41–54. https://doi.org/10.19105/revelatia.v4i1.7466.</w:t>
      </w:r>
    </w:p>
    <w:p w14:paraId="2895330B"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Kaharuddin, Kaharuddin. “Kualitatif: Ciri dan Karakter Sebagai Metodologi.” </w:t>
      </w:r>
      <w:r w:rsidRPr="00214265">
        <w:rPr>
          <w:rFonts w:ascii="Times New Roman" w:hAnsi="Times New Roman" w:cs="Times New Roman"/>
          <w:i/>
          <w:iCs/>
          <w:sz w:val="24"/>
          <w:szCs w:val="24"/>
        </w:rPr>
        <w:t>Equilibrium: Jurnal Pendidikan</w:t>
      </w:r>
      <w:r w:rsidRPr="00214265">
        <w:rPr>
          <w:rFonts w:ascii="Times New Roman" w:hAnsi="Times New Roman" w:cs="Times New Roman"/>
          <w:sz w:val="24"/>
          <w:szCs w:val="24"/>
        </w:rPr>
        <w:t xml:space="preserve"> 9, no. 1 (10 Desember 2020): 1–8. https://doi.org/10.26618/equilibrium.v9i1.4489.</w:t>
      </w:r>
    </w:p>
    <w:p w14:paraId="7ED3E37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Lestari, Julita. “Pluralisme Agama di Indonesia: Tantangan dan Peluang Bagi Keutuhan Bangsa.” </w:t>
      </w:r>
      <w:r w:rsidRPr="00214265">
        <w:rPr>
          <w:rFonts w:ascii="Times New Roman" w:hAnsi="Times New Roman" w:cs="Times New Roman"/>
          <w:i/>
          <w:iCs/>
          <w:sz w:val="24"/>
          <w:szCs w:val="24"/>
        </w:rPr>
        <w:t>Al-Adyan: Journal of Religious Studies</w:t>
      </w:r>
      <w:r w:rsidRPr="00214265">
        <w:rPr>
          <w:rFonts w:ascii="Times New Roman" w:hAnsi="Times New Roman" w:cs="Times New Roman"/>
          <w:sz w:val="24"/>
          <w:szCs w:val="24"/>
        </w:rPr>
        <w:t xml:space="preserve"> 1, no. 1 (6 Agustus 2020): 29–38. https://doi.org/10.15548/al-adyan.v1i1.1714.</w:t>
      </w:r>
    </w:p>
    <w:p w14:paraId="21CA4E7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Muasmara, Ramli, dan Nahrim Ajmain. “Akulturasi Islam dan Budaya Nusantara.” </w:t>
      </w:r>
      <w:r w:rsidRPr="00214265">
        <w:rPr>
          <w:rFonts w:ascii="Times New Roman" w:hAnsi="Times New Roman" w:cs="Times New Roman"/>
          <w:i/>
          <w:iCs/>
          <w:sz w:val="24"/>
          <w:szCs w:val="24"/>
        </w:rPr>
        <w:t>TANJAK: Journal of Education and Teaching</w:t>
      </w:r>
      <w:r w:rsidRPr="00214265">
        <w:rPr>
          <w:rFonts w:ascii="Times New Roman" w:hAnsi="Times New Roman" w:cs="Times New Roman"/>
          <w:sz w:val="24"/>
          <w:szCs w:val="24"/>
        </w:rPr>
        <w:t xml:space="preserve"> 1, no. 2 (11 Agustus 2020): 111–25. https://doi.org/10.35961/tanjak.v1i2.150.</w:t>
      </w:r>
    </w:p>
    <w:p w14:paraId="6930ACA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Nugraha, Dipa. “Pendekatan Strukturalisme dan Praktik Triangulasi di dalam Penelitian Sastra.” </w:t>
      </w:r>
      <w:r w:rsidRPr="00214265">
        <w:rPr>
          <w:rFonts w:ascii="Times New Roman" w:hAnsi="Times New Roman" w:cs="Times New Roman"/>
          <w:i/>
          <w:iCs/>
          <w:sz w:val="24"/>
          <w:szCs w:val="24"/>
        </w:rPr>
        <w:t>Arif: Jurnal Sastra dan Kearifan Lokal</w:t>
      </w:r>
      <w:r w:rsidRPr="00214265">
        <w:rPr>
          <w:rFonts w:ascii="Times New Roman" w:hAnsi="Times New Roman" w:cs="Times New Roman"/>
          <w:sz w:val="24"/>
          <w:szCs w:val="24"/>
        </w:rPr>
        <w:t xml:space="preserve"> 3, no. 1 (31 Agustus 2023): 58–87. https://doi.org/10.21009/Arif.031.04.</w:t>
      </w:r>
    </w:p>
    <w:p w14:paraId="0B5C6DD2"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Nugroho, Fajar Ari. “Pemikiran KH. Abdurrahman Wahid Tentang Pribumisasi Pendidikan Islam: Solusi Integratif Menyatukan Agama dan Budaya.” </w:t>
      </w:r>
      <w:r w:rsidRPr="00214265">
        <w:rPr>
          <w:rFonts w:ascii="Times New Roman" w:hAnsi="Times New Roman" w:cs="Times New Roman"/>
          <w:i/>
          <w:iCs/>
          <w:sz w:val="24"/>
          <w:szCs w:val="24"/>
        </w:rPr>
        <w:t>Tsaqofah dan Tarikh: Jurnal Kebudayaan dan Sejarah Islam</w:t>
      </w:r>
      <w:r w:rsidRPr="00214265">
        <w:rPr>
          <w:rFonts w:ascii="Times New Roman" w:hAnsi="Times New Roman" w:cs="Times New Roman"/>
          <w:sz w:val="24"/>
          <w:szCs w:val="24"/>
        </w:rPr>
        <w:t xml:space="preserve"> 6, no. 2 (6 Februari 2022): 33. https://doi.org/10.29300/ttjksi.v6i2.3910.</w:t>
      </w:r>
    </w:p>
    <w:p w14:paraId="73EDBB0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Patora, Marianus. “Berteologi secara moderat dalam konteks kebhinekaan.” </w:t>
      </w:r>
      <w:r w:rsidRPr="00214265">
        <w:rPr>
          <w:rFonts w:ascii="Times New Roman" w:hAnsi="Times New Roman" w:cs="Times New Roman"/>
          <w:i/>
          <w:iCs/>
          <w:sz w:val="24"/>
          <w:szCs w:val="24"/>
        </w:rPr>
        <w:t>KURIOS</w:t>
      </w:r>
      <w:r w:rsidRPr="00214265">
        <w:rPr>
          <w:rFonts w:ascii="Times New Roman" w:hAnsi="Times New Roman" w:cs="Times New Roman"/>
          <w:sz w:val="24"/>
          <w:szCs w:val="24"/>
        </w:rPr>
        <w:t xml:space="preserve"> 8, no. 1 (30 April 2022): 124. https://doi.org/10.30995/kur.v8i1.477.</w:t>
      </w:r>
    </w:p>
    <w:p w14:paraId="022CB5B1"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Sahroh, Alfi, dan Nayla Na’imatur Rizkiyah. “Nilai Kejujuran dalam Pendidikan Karakter : Studi Hadis Bukhari No. 5629.” </w:t>
      </w:r>
      <w:r w:rsidRPr="00214265">
        <w:rPr>
          <w:rFonts w:ascii="Times New Roman" w:hAnsi="Times New Roman" w:cs="Times New Roman"/>
          <w:i/>
          <w:iCs/>
          <w:sz w:val="24"/>
          <w:szCs w:val="24"/>
        </w:rPr>
        <w:t>Nusantara: Jurnal Pendidikan Indonesia</w:t>
      </w:r>
      <w:r w:rsidRPr="00214265">
        <w:rPr>
          <w:rFonts w:ascii="Times New Roman" w:hAnsi="Times New Roman" w:cs="Times New Roman"/>
          <w:sz w:val="24"/>
          <w:szCs w:val="24"/>
        </w:rPr>
        <w:t xml:space="preserve"> 1, no. 2 (31 Mei 2021): 335–66. https://doi.org/10.14421/njpi.2021.v1i2-6.</w:t>
      </w:r>
    </w:p>
    <w:p w14:paraId="0842F8FB"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Saihu, Made Made, dan Abdul Aziz. “Implementasi Metode Pendidikan Pluralisme Dalam Mata Pelajaran Pendidikan Agama Islam.” </w:t>
      </w:r>
      <w:r w:rsidRPr="00214265">
        <w:rPr>
          <w:rFonts w:ascii="Times New Roman" w:hAnsi="Times New Roman" w:cs="Times New Roman"/>
          <w:i/>
          <w:iCs/>
          <w:sz w:val="24"/>
          <w:szCs w:val="24"/>
        </w:rPr>
        <w:t>Belajea; Jurnal Pendidikan Islam</w:t>
      </w:r>
      <w:r w:rsidRPr="00214265">
        <w:rPr>
          <w:rFonts w:ascii="Times New Roman" w:hAnsi="Times New Roman" w:cs="Times New Roman"/>
          <w:sz w:val="24"/>
          <w:szCs w:val="24"/>
        </w:rPr>
        <w:t xml:space="preserve"> 5, no. 1 (22 Mei 2020): 131. https://doi.org/10.29240/belajea.v5i1.1037.</w:t>
      </w:r>
    </w:p>
    <w:p w14:paraId="0C567913"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Santoso, Fattah Setiawan. “Masa Depan Pendidikan Hukum Islam Di Perguruan Tinggi Keagamaan Islam Refleksi Pembelajaran Di Masa Kedaruratan COVID-19.” </w:t>
      </w:r>
      <w:r w:rsidRPr="00214265">
        <w:rPr>
          <w:rFonts w:ascii="Times New Roman" w:hAnsi="Times New Roman" w:cs="Times New Roman"/>
          <w:i/>
          <w:iCs/>
          <w:sz w:val="24"/>
          <w:szCs w:val="24"/>
        </w:rPr>
        <w:t>Ulumuddin : Jurnal Ilmu-ilmu Keislaman</w:t>
      </w:r>
      <w:r w:rsidRPr="00214265">
        <w:rPr>
          <w:rFonts w:ascii="Times New Roman" w:hAnsi="Times New Roman" w:cs="Times New Roman"/>
          <w:sz w:val="24"/>
          <w:szCs w:val="24"/>
        </w:rPr>
        <w:t xml:space="preserve"> 10, no. 1 (19 Juni 2020): 13–26. https://doi.org/10.47200/ulumuddin.v10i1.378.</w:t>
      </w:r>
    </w:p>
    <w:p w14:paraId="6C6F87B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Toriyono, Muhammad Dwi, Annas Ribab Sibilana, dan Bagus Wahyu Setyawan. “Urgensi Pendidikan Multikultural dalam Pengembangan Karakter di Era Society 5.0 pada Perguruan Tinggi.” </w:t>
      </w:r>
      <w:r w:rsidRPr="00214265">
        <w:rPr>
          <w:rFonts w:ascii="Times New Roman" w:hAnsi="Times New Roman" w:cs="Times New Roman"/>
          <w:i/>
          <w:iCs/>
          <w:sz w:val="24"/>
          <w:szCs w:val="24"/>
        </w:rPr>
        <w:t>Jurnal Intelektual: Jurnal Pendidikan dan Studi Keislaman</w:t>
      </w:r>
      <w:r w:rsidRPr="00214265">
        <w:rPr>
          <w:rFonts w:ascii="Times New Roman" w:hAnsi="Times New Roman" w:cs="Times New Roman"/>
          <w:sz w:val="24"/>
          <w:szCs w:val="24"/>
        </w:rPr>
        <w:t xml:space="preserve"> 12, no. 2 (8 September 2022): 127–40. https://doi.org/10.33367/ji.v12i2.2728.</w:t>
      </w:r>
    </w:p>
    <w:p w14:paraId="0DB730F0"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Ulinnuha, Eliza Rahma, dan Zeni Murtafiati Mizani. “Peranan Muslimat Nahdlatul Ulama dalam Pemberdayaan Perempuan pada Bidang Sosial Keagamaan.” </w:t>
      </w:r>
      <w:r w:rsidRPr="00214265">
        <w:rPr>
          <w:rFonts w:ascii="Times New Roman" w:hAnsi="Times New Roman" w:cs="Times New Roman"/>
          <w:i/>
          <w:iCs/>
          <w:sz w:val="24"/>
          <w:szCs w:val="24"/>
        </w:rPr>
        <w:t>MA’ALIM: Jurnal Pendidikan Islam</w:t>
      </w:r>
      <w:r w:rsidRPr="00214265">
        <w:rPr>
          <w:rFonts w:ascii="Times New Roman" w:hAnsi="Times New Roman" w:cs="Times New Roman"/>
          <w:sz w:val="24"/>
          <w:szCs w:val="24"/>
        </w:rPr>
        <w:t xml:space="preserve"> 4, no. 1 (30 Juni 2023): 113–29. https://doi.org/10.21154/maalim.v4i1.7040.</w:t>
      </w:r>
    </w:p>
    <w:p w14:paraId="47DD1A83"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Yusrie, Chaira Saidah, Indra Noviansyah, dan Muhamad Nasrudin. “Minat Remaja Dalam Mengikuti Shalat Berjamaah.” </w:t>
      </w:r>
      <w:r w:rsidRPr="00214265">
        <w:rPr>
          <w:rFonts w:ascii="Times New Roman" w:hAnsi="Times New Roman" w:cs="Times New Roman"/>
          <w:i/>
          <w:iCs/>
          <w:sz w:val="24"/>
          <w:szCs w:val="24"/>
        </w:rPr>
        <w:t>Mimbar Kampus: Jurnal Pendidikan dan Agama Islam</w:t>
      </w:r>
      <w:r w:rsidRPr="00214265">
        <w:rPr>
          <w:rFonts w:ascii="Times New Roman" w:hAnsi="Times New Roman" w:cs="Times New Roman"/>
          <w:sz w:val="24"/>
          <w:szCs w:val="24"/>
        </w:rPr>
        <w:t xml:space="preserve"> 20, no. 1 (3 Juli 2021): 1–12. https://doi.org/10.47467/mk.v20i1.437.</w:t>
      </w:r>
    </w:p>
    <w:p w14:paraId="084EFDB1" w14:textId="77777777" w:rsidR="00214265" w:rsidRPr="00CE0D1D" w:rsidRDefault="00214265" w:rsidP="00214265">
      <w:pPr>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fldChar w:fldCharType="end"/>
      </w:r>
    </w:p>
    <w:p w14:paraId="4C894457" w14:textId="77777777" w:rsidR="009626D5" w:rsidRPr="00214265" w:rsidRDefault="009626D5">
      <w:pPr>
        <w:rPr>
          <w:rFonts w:ascii="Times New Roman" w:hAnsi="Times New Roman" w:cs="Times New Roman"/>
        </w:rPr>
      </w:pPr>
    </w:p>
    <w:sectPr w:rsidR="009626D5" w:rsidRPr="00214265" w:rsidSect="00E734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397B" w14:textId="77777777" w:rsidR="00E734E0" w:rsidRDefault="00E734E0" w:rsidP="00214265">
      <w:pPr>
        <w:spacing w:after="0" w:line="240" w:lineRule="auto"/>
      </w:pPr>
      <w:r>
        <w:separator/>
      </w:r>
    </w:p>
  </w:endnote>
  <w:endnote w:type="continuationSeparator" w:id="0">
    <w:p w14:paraId="54C31096" w14:textId="77777777" w:rsidR="00E734E0" w:rsidRDefault="00E734E0" w:rsidP="0021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84824"/>
      <w:docPartObj>
        <w:docPartGallery w:val="Page Numbers (Bottom of Page)"/>
        <w:docPartUnique/>
      </w:docPartObj>
    </w:sdtPr>
    <w:sdtEndPr>
      <w:rPr>
        <w:noProof/>
      </w:rPr>
    </w:sdtEndPr>
    <w:sdtContent>
      <w:p w14:paraId="68F56DD1" w14:textId="77777777" w:rsidR="007D67F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2D900" w14:textId="77777777" w:rsidR="007D67FC" w:rsidRDefault="007D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C0DD" w14:textId="77777777" w:rsidR="00E734E0" w:rsidRDefault="00E734E0" w:rsidP="00214265">
      <w:pPr>
        <w:spacing w:after="0" w:line="240" w:lineRule="auto"/>
      </w:pPr>
      <w:r>
        <w:separator/>
      </w:r>
    </w:p>
  </w:footnote>
  <w:footnote w:type="continuationSeparator" w:id="0">
    <w:p w14:paraId="6B2D1C26" w14:textId="77777777" w:rsidR="00E734E0" w:rsidRDefault="00E734E0" w:rsidP="00214265">
      <w:pPr>
        <w:spacing w:after="0" w:line="240" w:lineRule="auto"/>
      </w:pPr>
      <w:r>
        <w:continuationSeparator/>
      </w:r>
    </w:p>
  </w:footnote>
  <w:footnote w:id="1">
    <w:p w14:paraId="59672A91" w14:textId="77777777" w:rsidR="00214265" w:rsidRPr="00943873" w:rsidRDefault="00214265" w:rsidP="00214265">
      <w:pPr>
        <w:pStyle w:val="FootnoteText"/>
        <w:ind w:firstLine="720"/>
        <w:jc w:val="both"/>
        <w:rPr>
          <w:rFonts w:ascii="Times New Roman" w:hAnsi="Times New Roman" w:cs="Times New Roman"/>
          <w:lang w:val="en-US"/>
        </w:rPr>
      </w:pPr>
      <w:r w:rsidRPr="00943873">
        <w:rPr>
          <w:rStyle w:val="FootnoteReference"/>
          <w:rFonts w:ascii="Times New Roman" w:hAnsi="Times New Roman" w:cs="Times New Roman"/>
        </w:rPr>
        <w:footnoteRef/>
      </w:r>
      <w:r w:rsidRPr="00943873">
        <w:rPr>
          <w:rFonts w:ascii="Times New Roman" w:hAnsi="Times New Roman" w:cs="Times New Roman"/>
        </w:rPr>
        <w:t xml:space="preserve"> </w:t>
      </w:r>
      <w:r w:rsidRPr="00943873">
        <w:rPr>
          <w:rFonts w:ascii="Times New Roman" w:hAnsi="Times New Roman" w:cs="Times New Roman"/>
        </w:rPr>
        <w:fldChar w:fldCharType="begin"/>
      </w:r>
      <w:r w:rsidRPr="00943873">
        <w:rPr>
          <w:rFonts w:ascii="Times New Roman" w:hAnsi="Times New Roman" w:cs="Times New Roman"/>
        </w:rPr>
        <w:instrText xml:space="preserve"> ADDIN ZOTERO_ITEM CSL_CITATION {"citationID":"aqukm2Km","properties":{"formattedCitation":"Gema Budiarto, \\uc0\\u8220{}Indonesia dalam Pusaran Globalisasi dan Pengaruhnya Terhadap Krisis Moral dan Karakter,\\uc0\\u8221{} {\\i{}Pamator Journal} 13, no. 1 (4 April 2020): 50\\uc0\\u8211{}56, https://doi.org/10.21107/pamator.v13i1.6912.","plainCitation":"Gema Budiarto, “Indonesia dalam Pusaran Globalisasi dan Pengaruhnya Terhadap Krisis Moral dan Karakter,” Pamator Journal 13, no. 1 (4 April 2020): 50–56, https://doi.org/10.21107/pamator.v13i1.6912.","noteIndex":1},"citationItems":[{"id":324,"uris":["http://zotero.org/users/local/gLbj58vW/items/X47ZVMFJ"],"itemData":{"id":324,"type":"article-journal","container-title":"Pamator Journal","DOI":"10.21107/pamator.v13i1.6912","ISSN":"2654-7856, 1829-7935","issue":"1","journalAbbreviation":"pamator","page":"50-56","source":"DOI.org (Crossref)","title":"Indonesia dalam Pusaran Globalisasi dan Pengaruhnya Terhadap Krisis Moral dan Karakter","volume":"13","author":[{"family":"Budiarto","given":"Gema"}],"issued":{"date-parts":[["2020",4,4]]}}}],"schema":"https://github.com/citation-style-language/schema/raw/master/csl-citation.json"} </w:instrText>
      </w:r>
      <w:r w:rsidRPr="00943873">
        <w:rPr>
          <w:rFonts w:ascii="Times New Roman" w:hAnsi="Times New Roman" w:cs="Times New Roman"/>
        </w:rPr>
        <w:fldChar w:fldCharType="separate"/>
      </w:r>
      <w:r w:rsidRPr="00943873">
        <w:rPr>
          <w:rFonts w:ascii="Times New Roman" w:hAnsi="Times New Roman" w:cs="Times New Roman"/>
          <w:kern w:val="0"/>
          <w:szCs w:val="24"/>
        </w:rPr>
        <w:t xml:space="preserve">Gema Budiarto, “Indonesia dalam Pusaran Globalisasi dan Pengaruhnya Terhadap Krisis Moral dan Karakter,” </w:t>
      </w:r>
      <w:r w:rsidRPr="00943873">
        <w:rPr>
          <w:rFonts w:ascii="Times New Roman" w:hAnsi="Times New Roman" w:cs="Times New Roman"/>
          <w:i/>
          <w:iCs/>
          <w:kern w:val="0"/>
          <w:szCs w:val="24"/>
        </w:rPr>
        <w:t>Pamator Journal</w:t>
      </w:r>
      <w:r w:rsidRPr="00943873">
        <w:rPr>
          <w:rFonts w:ascii="Times New Roman" w:hAnsi="Times New Roman" w:cs="Times New Roman"/>
          <w:kern w:val="0"/>
          <w:szCs w:val="24"/>
        </w:rPr>
        <w:t xml:space="preserve"> 13, no. 1 (4 April 2020): 50–56, https://doi.org/10.21107/pamator.v13i1.6912.</w:t>
      </w:r>
      <w:r w:rsidRPr="00943873">
        <w:rPr>
          <w:rFonts w:ascii="Times New Roman" w:hAnsi="Times New Roman" w:cs="Times New Roman"/>
        </w:rPr>
        <w:fldChar w:fldCharType="end"/>
      </w:r>
    </w:p>
  </w:footnote>
  <w:footnote w:id="2">
    <w:p w14:paraId="65D8F083" w14:textId="77777777" w:rsidR="00214265" w:rsidRPr="00943873" w:rsidRDefault="00214265" w:rsidP="00214265">
      <w:pPr>
        <w:pStyle w:val="FootnoteText"/>
        <w:ind w:firstLine="720"/>
        <w:jc w:val="both"/>
        <w:rPr>
          <w:rFonts w:ascii="Times New Roman" w:hAnsi="Times New Roman" w:cs="Times New Roman"/>
          <w:lang w:val="en-US"/>
        </w:rPr>
      </w:pPr>
      <w:r w:rsidRPr="00943873">
        <w:rPr>
          <w:rStyle w:val="FootnoteReference"/>
          <w:rFonts w:ascii="Times New Roman" w:hAnsi="Times New Roman" w:cs="Times New Roman"/>
        </w:rPr>
        <w:footnoteRef/>
      </w:r>
      <w:r w:rsidRPr="00943873">
        <w:rPr>
          <w:rFonts w:ascii="Times New Roman" w:hAnsi="Times New Roman" w:cs="Times New Roman"/>
        </w:rPr>
        <w:t xml:space="preserve"> </w:t>
      </w:r>
      <w:r w:rsidRPr="00943873">
        <w:rPr>
          <w:rFonts w:ascii="Times New Roman" w:hAnsi="Times New Roman" w:cs="Times New Roman"/>
        </w:rPr>
        <w:fldChar w:fldCharType="begin"/>
      </w:r>
      <w:r w:rsidRPr="00943873">
        <w:rPr>
          <w:rFonts w:ascii="Times New Roman" w:hAnsi="Times New Roman" w:cs="Times New Roman"/>
        </w:rPr>
        <w:instrText xml:space="preserve"> ADDIN ZOTERO_ITEM CSL_CITATION {"citationID":"fBsBSrMo","properties":{"formattedCitation":"Chaira Saidah Yusrie, Indra Noviansyah, dan Muhamad Nasrudin, \\uc0\\u8220{}Minat Remaja Dalam Mengikuti Shalat Berjamaah,\\uc0\\u8221{} {\\i{}Mimbar Kampus: Jurnal Pendidikan dan Agama Islam} 20, no. 1 (3 Juli 2021): 1\\uc0\\u8211{}12, https://doi.org/10.47467/mk.v20i1.437.","plainCitation":"Chaira Saidah Yusrie, Indra Noviansyah, dan Muhamad Nasrudin, “Minat Remaja Dalam Mengikuti Shalat Berjamaah,” Mimbar Kampus: Jurnal Pendidikan dan Agama Islam 20, no. 1 (3 Juli 2021): 1–12, https://doi.org/10.47467/mk.v20i1.437.","noteIndex":2},"citationItems":[{"id":326,"uris":["http://zotero.org/users/local/gLbj58vW/items/IMIXI6S5"],"itemData":{"id":326,"type":"article-journal","abstract":"The aims of the research are to: 1) obtain data on the interest of adolescents in participating in jamaah prayers at the mosque; 2) obtain data on the factors that cause the low interest of adolescents to attend jamaah prayer at the mosque 3) find out how to overcome the causes of the lack of interest of adolescents in participating prayer at the mosque. The research was conducted in Cipayung Village, Kec. Cibinong, Bogor Regency. Research data were collected using questionnaires and documentation techniques. The research instrument used a questionnaire to obtain data on interest in praying in congregation and documentation was used to obtain other data needed in writing reports, and research data were analyzed descriptively with percentages. The results of the study recommend: 1) Teenagers should always motivate themselves to do positive things and not be carried away by negative associations. 2) For scholars to be more active in conducting coaching to teenagers. 3) For further researchers, it is recommended to examine the interest of teenagers in participating in praying at the mosques for Madrasah Aliyah level.\r\n \r\n \r\n \r\nChaira Saidah Yusrie\r\nIAI Nasional Laa Roiba Bogor\r\n \r\nIndra Noviansyah\r\nIAI Nasional Laa Roiba Bogor\r\n \r\n \r\nMuhamad Nasrudin\r\nIAI Nasional Laa Roiba Bogor","container-title":"Mimbar Kampus: Jurnal Pendidikan dan Agama Islam","DOI":"10.47467/mk.v20i1.437","ISSN":"2776-5571, 1411-7673","issue":"1","journalAbbreviation":"mk","page":"1-12","source":"DOI.org (Crossref)","title":"Minat Remaja Dalam Mengikuti Shalat Berjamaah","volume":"20","author":[{"family":"Yusrie","given":"Chaira Saidah"},{"family":"Noviansyah","given":"Indra"},{"family":"Nasrudin","given":"Muhamad"}],"issued":{"date-parts":[["2021",7,3]]}}}],"schema":"https://github.com/citation-style-language/schema/raw/master/csl-citation.json"} </w:instrText>
      </w:r>
      <w:r w:rsidRPr="00943873">
        <w:rPr>
          <w:rFonts w:ascii="Times New Roman" w:hAnsi="Times New Roman" w:cs="Times New Roman"/>
        </w:rPr>
        <w:fldChar w:fldCharType="separate"/>
      </w:r>
      <w:r w:rsidRPr="00943873">
        <w:rPr>
          <w:rFonts w:ascii="Times New Roman" w:hAnsi="Times New Roman" w:cs="Times New Roman"/>
          <w:kern w:val="0"/>
          <w:szCs w:val="24"/>
        </w:rPr>
        <w:t xml:space="preserve">Chaira Saidah Yusrie, Indra Noviansyah, dan Muhamad Nasrudin, “Minat Remaja Dalam Mengikuti Shalat Berjamaah,” </w:t>
      </w:r>
      <w:r w:rsidRPr="00943873">
        <w:rPr>
          <w:rFonts w:ascii="Times New Roman" w:hAnsi="Times New Roman" w:cs="Times New Roman"/>
          <w:i/>
          <w:iCs/>
          <w:kern w:val="0"/>
          <w:szCs w:val="24"/>
        </w:rPr>
        <w:t>Mimbar Kampus: Jurnal Pendidikan dan Agama Islam</w:t>
      </w:r>
      <w:r w:rsidRPr="00943873">
        <w:rPr>
          <w:rFonts w:ascii="Times New Roman" w:hAnsi="Times New Roman" w:cs="Times New Roman"/>
          <w:kern w:val="0"/>
          <w:szCs w:val="24"/>
        </w:rPr>
        <w:t xml:space="preserve"> 20, no. 1 (3 Juli 2021): 1–12, https://doi.org/10.47467/mk.v20i1.437.</w:t>
      </w:r>
      <w:r w:rsidRPr="00943873">
        <w:rPr>
          <w:rFonts w:ascii="Times New Roman" w:hAnsi="Times New Roman" w:cs="Times New Roman"/>
        </w:rPr>
        <w:fldChar w:fldCharType="end"/>
      </w:r>
    </w:p>
  </w:footnote>
  <w:footnote w:id="3">
    <w:p w14:paraId="4E8FCAC0" w14:textId="77777777" w:rsidR="00214265" w:rsidRPr="00E5169C" w:rsidRDefault="00214265" w:rsidP="00214265">
      <w:pPr>
        <w:pStyle w:val="FootnoteText"/>
        <w:ind w:firstLine="720"/>
        <w:jc w:val="both"/>
        <w:rPr>
          <w:rFonts w:ascii="Times New Roman" w:hAnsi="Times New Roman" w:cs="Times New Roman"/>
          <w:lang w:val="en-US"/>
        </w:rPr>
      </w:pPr>
      <w:r w:rsidRPr="00E5169C">
        <w:rPr>
          <w:rStyle w:val="FootnoteReference"/>
          <w:rFonts w:ascii="Times New Roman" w:hAnsi="Times New Roman" w:cs="Times New Roman"/>
        </w:rPr>
        <w:footnoteRef/>
      </w:r>
      <w:r w:rsidRPr="00E5169C">
        <w:rPr>
          <w:rFonts w:ascii="Times New Roman" w:hAnsi="Times New Roman" w:cs="Times New Roman"/>
        </w:rPr>
        <w:t xml:space="preserve"> </w:t>
      </w:r>
      <w:r w:rsidRPr="00E5169C">
        <w:rPr>
          <w:rFonts w:ascii="Times New Roman" w:hAnsi="Times New Roman" w:cs="Times New Roman"/>
        </w:rPr>
        <w:fldChar w:fldCharType="begin"/>
      </w:r>
      <w:r w:rsidRPr="00E5169C">
        <w:rPr>
          <w:rFonts w:ascii="Times New Roman" w:hAnsi="Times New Roman" w:cs="Times New Roman"/>
        </w:rPr>
        <w:instrText xml:space="preserve"> ADDIN ZOTERO_ITEM CSL_CITATION {"citationID":"t2AKKT6G","properties":{"formattedCitation":"Kaharuddin Kaharuddin, \\uc0\\u8220{}Kualitatif: Ciri dan Karakter Sebagai Metodologi,\\uc0\\u8221{} {\\i{}Equilibrium: Jurnal Pendidikan} 9, no. 1 (10 Desember 2020): 1\\uc0\\u8211{}8, https://doi.org/10.26618/equilibrium.v9i1.4489.","plainCitation":"Kaharuddin Kaharuddin, “Kualitatif: Ciri dan Karakter Sebagai Metodologi,” Equilibrium: Jurnal Pendidikan 9, no. 1 (10 Desember 2020): 1–8, https://doi.org/10.26618/equilibrium.v9i1.4489.","noteIndex":3},"citationItems":[{"id":328,"uris":["http://zotero.org/users/local/gLbj58vW/items/PLEQCCWJ"],"itemData":{"id":328,"type":"article-journal","abstract":"Terlebih dahulu yang harus dipahami adalah karakter, ciri dan makna serta tujuan dari kualitatif itu sendiri. Pentingnya memahami karakter, ciri dan makna serta tujuan metode kualitatif agar peneliti tidak keliru dalam pengunaan metode tersebut, juga dapat mengetahu tujuan dari suatu penelitian yang mengunakan kualitatif. Jadi penggunaan kualitatif tidak hanya menjadi alat tempelan dalam metodologi disetiap jenis penelitian dalam menyusun skripsi ataupun tesis dan desertasi.","container-title":"Equilibrium: Jurnal Pendidikan","DOI":"10.26618/equilibrium.v9i1.4489","ISSN":"2477-0221, 2339-2401","issue":"1","journalAbbreviation":"j.equilibrium","page":"1-8","source":"DOI.org (Crossref)","title":"Kualitatif: Ciri dan Karakter Sebagai Metodologi","title-short":"Kualitatif","volume":"9","author":[{"family":"Kaharuddin","given":"Kaharuddin"}],"issued":{"date-parts":[["2020",12,10]]}}}],"schema":"https://github.com/citation-style-language/schema/raw/master/csl-citation.json"} </w:instrText>
      </w:r>
      <w:r w:rsidRPr="00E5169C">
        <w:rPr>
          <w:rFonts w:ascii="Times New Roman" w:hAnsi="Times New Roman" w:cs="Times New Roman"/>
        </w:rPr>
        <w:fldChar w:fldCharType="separate"/>
      </w:r>
      <w:r w:rsidRPr="00E5169C">
        <w:rPr>
          <w:rFonts w:ascii="Times New Roman" w:hAnsi="Times New Roman" w:cs="Times New Roman"/>
          <w:kern w:val="0"/>
          <w:szCs w:val="24"/>
        </w:rPr>
        <w:t xml:space="preserve">Kaharuddin Kaharuddin, “Kualitatif: Ciri dan Karakter Sebagai Metodologi,” </w:t>
      </w:r>
      <w:r w:rsidRPr="00E5169C">
        <w:rPr>
          <w:rFonts w:ascii="Times New Roman" w:hAnsi="Times New Roman" w:cs="Times New Roman"/>
          <w:i/>
          <w:iCs/>
          <w:kern w:val="0"/>
          <w:szCs w:val="24"/>
        </w:rPr>
        <w:t>Equilibrium: Jurnal Pendidikan</w:t>
      </w:r>
      <w:r w:rsidRPr="00E5169C">
        <w:rPr>
          <w:rFonts w:ascii="Times New Roman" w:hAnsi="Times New Roman" w:cs="Times New Roman"/>
          <w:kern w:val="0"/>
          <w:szCs w:val="24"/>
        </w:rPr>
        <w:t xml:space="preserve"> 9, no. 1 (10 Desember 2020): 1–8, https://doi.org/10.26618/equilibrium.v9i1.4489.</w:t>
      </w:r>
      <w:r w:rsidRPr="00E5169C">
        <w:rPr>
          <w:rFonts w:ascii="Times New Roman" w:hAnsi="Times New Roman" w:cs="Times New Roman"/>
        </w:rPr>
        <w:fldChar w:fldCharType="end"/>
      </w:r>
    </w:p>
  </w:footnote>
  <w:footnote w:id="4">
    <w:p w14:paraId="7D61F692" w14:textId="77777777" w:rsidR="00214265" w:rsidRPr="00E5169C" w:rsidRDefault="00214265" w:rsidP="00214265">
      <w:pPr>
        <w:pStyle w:val="FootnoteText"/>
        <w:ind w:firstLine="720"/>
        <w:jc w:val="both"/>
        <w:rPr>
          <w:lang w:val="en-US"/>
        </w:rPr>
      </w:pPr>
      <w:r w:rsidRPr="00E5169C">
        <w:rPr>
          <w:rStyle w:val="FootnoteReference"/>
          <w:rFonts w:ascii="Times New Roman" w:hAnsi="Times New Roman" w:cs="Times New Roman"/>
        </w:rPr>
        <w:footnoteRef/>
      </w:r>
      <w:r w:rsidRPr="00E5169C">
        <w:rPr>
          <w:rFonts w:ascii="Times New Roman" w:hAnsi="Times New Roman" w:cs="Times New Roman"/>
        </w:rPr>
        <w:t xml:space="preserve"> </w:t>
      </w:r>
      <w:r w:rsidRPr="00E5169C">
        <w:rPr>
          <w:rFonts w:ascii="Times New Roman" w:hAnsi="Times New Roman" w:cs="Times New Roman"/>
        </w:rPr>
        <w:fldChar w:fldCharType="begin"/>
      </w:r>
      <w:r w:rsidRPr="00E5169C">
        <w:rPr>
          <w:rFonts w:ascii="Times New Roman" w:hAnsi="Times New Roman" w:cs="Times New Roman"/>
        </w:rPr>
        <w:instrText xml:space="preserve"> ADDIN ZOTERO_ITEM CSL_CITATION {"citationID":"rB1x7PrP","properties":{"formattedCitation":"Hadi Ismanto, \\uc0\\u8220{}Komunikasi Politik Kyai dalam Pengembangan Pesantren (Studi Analisis Terhadap Pondok Pesantren Sunan Drajat Lamongan),\\uc0\\u8221{} {\\i{}JOSH: Journal of Sharia} 2, no. 02 (30 Juni 2023): 101\\uc0\\u8211{}9, https://doi.org/10.55352/josh.v2i2.542.","plainCitation":"Hadi Ismanto, “Komunikasi Politik Kyai dalam Pengembangan Pesantren (Studi Analisis Terhadap Pondok Pesantren Sunan Drajat Lamongan),” JOSH: Journal of Sharia 2, no. 02 (30 Juni 2023): 101–9, https://doi.org/10.55352/josh.v2i2.542.","noteIndex":4},"citationItems":[{"id":330,"uris":["http://zotero.org/users/local/gLbj58vW/items/W9XY3NFM"],"itemData":{"id":330,"type":"article-journal","abstract":"Kyai is a very interesting figure in Islam. His charisma is huge in the eyes of the public. Kyai influence in almost all fields. The magnitude of this influence makes many political actors, structural officials, businessmen and Muslims who are in the social environment of the kyai. So often, state officials approach the kyai for the sake of harmonization of the government's development policies. It is from here that the kyai get feedback in the form of resources that can be transformed into the internal of the Islamic boarding schools as initial capital for the development of the pesantren. To make it happen, the kyai do it with a political communication approach to all the ranks under him.\r\nThis study was directed at the Sunan Drajat Islamic Boarding School, Lamongan, East Java by analyzing and describing field findings. Research subjects were selected based on purposive testing. Kyai who are the subject of this research are those who are actively involved in developing pesantren. The consequences of this study show that political communication carried out by kyai can synergize leadership policies in each institution and is able to accelerate the development of Islamic boarding schools in a better direction. This shows that the existence of kyai cannot be separated from efforts to develop Islamic boarding schools.","container-title":"JOSH: Journal of Sharia","DOI":"10.55352/josh.v2i2.542","ISSN":"2828-1012, 2828-1497","issue":"02","journalAbbreviation":"josh","page":"101-109","source":"DOI.org (Crossref)","title":"Komunikasi Politik Kyai dalam Pengembangan Pesantren (Studi Analisis Terhadap Pondok Pesantren Sunan Drajat Lamongan)","volume":"2","author":[{"literal":"Hadi Ismanto"}],"issued":{"date-parts":[["2023",6,30]]}}}],"schema":"https://github.com/citation-style-language/schema/raw/master/csl-citation.json"} </w:instrText>
      </w:r>
      <w:r w:rsidRPr="00E5169C">
        <w:rPr>
          <w:rFonts w:ascii="Times New Roman" w:hAnsi="Times New Roman" w:cs="Times New Roman"/>
        </w:rPr>
        <w:fldChar w:fldCharType="separate"/>
      </w:r>
      <w:r w:rsidRPr="00E5169C">
        <w:rPr>
          <w:rFonts w:ascii="Times New Roman" w:hAnsi="Times New Roman" w:cs="Times New Roman"/>
          <w:kern w:val="0"/>
          <w:szCs w:val="24"/>
        </w:rPr>
        <w:t xml:space="preserve">Hadi Ismanto, “Komunikasi Politik Kyai dalam Pengembangan Pesantren (Studi Analisis Terhadap Pondok Pesantren Sunan Drajat Lamongan),” </w:t>
      </w:r>
      <w:r w:rsidRPr="00E5169C">
        <w:rPr>
          <w:rFonts w:ascii="Times New Roman" w:hAnsi="Times New Roman" w:cs="Times New Roman"/>
          <w:i/>
          <w:iCs/>
          <w:kern w:val="0"/>
          <w:szCs w:val="24"/>
        </w:rPr>
        <w:t>JOSH: Journal of Sharia</w:t>
      </w:r>
      <w:r w:rsidRPr="00E5169C">
        <w:rPr>
          <w:rFonts w:ascii="Times New Roman" w:hAnsi="Times New Roman" w:cs="Times New Roman"/>
          <w:kern w:val="0"/>
          <w:szCs w:val="24"/>
        </w:rPr>
        <w:t xml:space="preserve"> 2, no. 02 (30 Juni 2023): 101–9, https://doi.org/10.55352/josh.v2i2.542.</w:t>
      </w:r>
      <w:r w:rsidRPr="00E5169C">
        <w:rPr>
          <w:rFonts w:ascii="Times New Roman" w:hAnsi="Times New Roman" w:cs="Times New Roman"/>
        </w:rPr>
        <w:fldChar w:fldCharType="end"/>
      </w:r>
    </w:p>
  </w:footnote>
  <w:footnote w:id="5">
    <w:p w14:paraId="323D428A" w14:textId="77777777" w:rsidR="00214265" w:rsidRPr="00BA4A02" w:rsidRDefault="00214265" w:rsidP="00214265">
      <w:pPr>
        <w:pStyle w:val="FootnoteText"/>
        <w:ind w:firstLine="720"/>
        <w:jc w:val="both"/>
        <w:rPr>
          <w:rFonts w:ascii="Times New Roman" w:hAnsi="Times New Roman" w:cs="Times New Roman"/>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{"citationID":"r9USAO3G","properties":{"formattedCitation":"Dipa Nugraha, \\uc0\\u8220{}Pendekatan Strukturalisme dan Praktik Triangulasi di dalam Penelitian Sastra,\\uc0\\u8221{} {\\i{}Arif: Jurnal Sastra dan Kearifan Lokal} 3, no. 1 (31 Agustus 2023): 58\\uc0\\u8211{}87, https://doi.org/10.21009/Arif.031.04.","plainCitation":"Dipa Nugraha, “Pendekatan Strukturalisme dan Praktik Triangulasi di dalam Penelitian Sastra,” Arif: Jurnal Sastra dan Kearifan Lokal 3, no. 1 (31 Agustus 2023): 58–87, https://doi.org/10.21009/Arif.031.04.","noteIndex":5},"citationItems":[{"id":332,"uris":["http://zotero.org/users/local/gLbj58vW/items/WM3NTAH9"],"itemData":{"id":332,"type":"article-journal","abstract":"Berdasarkan penelusuran, beberapa akademisi sastra Indonesia terdapati telah tidak tepat di dalam menerapkan pendekatan strukturalisme di dalam penelitian sastra. Akademisi sastra Indonesia lainnya ditemukan telah menggunakan istilah triangulasi di dalam penelitian mereka dengan keliru. Artikel ini adalah artikel kajian pustaka sistematis. Pustaka yang relevan dengan topik pendekatan strukturalisme dan triangulasi disarikan dan diletakkan di dalam konteks penelitian sastra. Artikel ini memberikan kesimpulan bahwa ketidaktepatan penerapan pendekatan strukturalisme terjadi pada penghentian langkah pengkajian hanya pada tahapan awal dari pendekatan strukturalisme, yaitu identifikasi unsur-unsur pembangun karya sastra, tanpa kelanjutan pada tahap pengulasan mendalam dan tindak analisis hubungan antarunsur. Adapun kekeliruan pemahaman atas dan ketidaktepatan penggunaan istilah triangulasi di dalam penelitian sastra di Indonesia bisa diatasi dengan pembacaan cermat atas buku rujukan utama dari penggunaan triangulasi yang sebenarnya berlaku di dalam penelitian sosial dengan judul The Research Act: A Theoretical Introduction to Sociological Methods karya Norman Denzin.","container-title":"Arif: Jurnal Sastra dan Kearifan Lokal","DOI":"10.21009/Arif.031.04","ISSN":"2807-8608","issue":"1","journalAbbreviation":"arif","page":"58-87","source":"DOI.org (Crossref)","title":"Pendekatan Strukturalisme dan Praktik Triangulasi di dalam Penelitian Sastra","volume":"3","author":[{"family":"Nugraha","given":"Dipa"}],"issued":{"date-parts":[["2023",8,31]]}}}],"schema":"https://github.com/citation-style-language/schema/raw/master/csl-citation.json"}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Dipa Nugraha, “Pendekatan Strukturalisme dan Praktik Triangulasi di dalam Penelitian Sastra,” </w:t>
      </w:r>
      <w:r w:rsidRPr="00BA4A02">
        <w:rPr>
          <w:rFonts w:ascii="Times New Roman" w:hAnsi="Times New Roman" w:cs="Times New Roman"/>
          <w:i/>
          <w:iCs/>
          <w:kern w:val="0"/>
          <w:szCs w:val="24"/>
        </w:rPr>
        <w:t>Arif: Jurnal Sastra dan Kearifan Lokal</w:t>
      </w:r>
      <w:r w:rsidRPr="00BA4A02">
        <w:rPr>
          <w:rFonts w:ascii="Times New Roman" w:hAnsi="Times New Roman" w:cs="Times New Roman"/>
          <w:kern w:val="0"/>
          <w:szCs w:val="24"/>
        </w:rPr>
        <w:t xml:space="preserve"> 3, no. 1 (31 Agustus 2023): 58–87, https://doi.org/10.21009/Arif.031.04.</w:t>
      </w:r>
      <w:r w:rsidRPr="00BA4A02">
        <w:rPr>
          <w:rFonts w:ascii="Times New Roman" w:hAnsi="Times New Roman" w:cs="Times New Roman"/>
        </w:rPr>
        <w:fldChar w:fldCharType="end"/>
      </w:r>
    </w:p>
  </w:footnote>
  <w:footnote w:id="6">
    <w:p w14:paraId="732E7994" w14:textId="77777777" w:rsidR="00214265" w:rsidRPr="00BA4A02" w:rsidRDefault="00214265" w:rsidP="00214265">
      <w:pPr>
        <w:pStyle w:val="FootnoteText"/>
        <w:ind w:firstLine="720"/>
        <w:jc w:val="both"/>
        <w:rPr>
          <w:rFonts w:ascii="Times New Roman" w:hAnsi="Times New Roman" w:cs="Times New Roman"/>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{"citationID":"waKfQmc0","properties":{"formattedCitation":"Risalatul Hasanah dan Mohammad Kosim, \\uc0\\u8220{}Analisis Gaya Kepemimpinan Kharismatik dalam Memelihara Nilai-Nilai Tradisi Kepesantrenan Tradisional di Pondok Pesantren Nurul Huda Kamundung Sampang,\\uc0\\u8221{} {\\i{}re-JIEM (Research Journal of Islamic Education Management)} 4, no. 1 (30 Juni 2021): 72\\uc0\\u8211{}85, https://doi.org/10.19105/re-jiem.v4i1.4820.","plainCitation":"Risalatul Hasanah dan Mohammad Kosim, “Analisis Gaya Kepemimpinan Kharismatik dalam Memelihara Nilai-Nilai Tradisi Kepesantrenan Tradisional di Pondok Pesantren Nurul Huda Kamundung Sampang,” re-JIEM (Research Journal of Islamic Education Management) 4, no. 1 (30 Juni 2021): 72–85, https://doi.org/10.19105/re-jiem.v4i1.4820.","noteIndex":6},"citationItems":[{"id":334,"uris":["http://zotero.org/users/local/gLbj58vW/items/EQLKAYZ7"],"itemData":{"id":334,"type":"article-journal","abstract":"This study examines the charismatic leadership style at the Pondok Pesantren Nurul Huda Kamundung Omben Sampang. This study uses a qualitative approach with the type of field research. Sources of data were obtained using interviews, observation, and documentation. The results show that: first, the application of a charismatic leadership style in maintaining traditional pesantren traditional values ​​still maintains the salaf Islamic boarding school which still maintains the teachings of previous scholars whose teaching uses the yellow book using the sorogan and wetonan teaching methods. And its management does not ask for funds from the government but asks for donations from students, asking for donations from the community to meet the needs of Islamic boarding schools. Second, the way to maintain traditional values ​​in charismatic leadership in Islamic boarding schools is by maintaining the traditions of salaf Islamic boarding schools, meaning that the salaf is still following the teachings of the scholars, namely reciting the yellow book, praying in congregation, learning to read the Qur'an, khidmah, and seek the approval of the teacher, and the method used is deliberation.","container-title":"re-JIEM (Research Journal of Islamic Education Management)","DOI":"10.19105/re-jiem.v4i1.4820","ISSN":"2655-5700, 2654-7295","issue":"1","journalAbbreviation":"Research Journal of Islamic Education Management","page":"72-85","source":"DOI.org (Crossref)","title":"Analisis Gaya Kepemimpinan Kharismatik dalam Memelihara Nilai-Nilai Tradisi Kepesantrenan Tradisional di Pondok Pesantren Nurul Huda Kamundung Sampang","volume":"4","author":[{"family":"Hasanah","given":"Risalatul"},{"family":"Kosim","given":"Mohammad"}],"issued":{"date-parts":[["2021",6,30]]}}}],"schema":"https://github.com/citation-style-language/schema/raw/master/csl-citation.json"}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Risalatul Hasanah dan Mohammad Kosim, “Analisis Gaya Kepemimpinan Kharismatik dalam Memelihara Nilai-Nilai Tradisi Kepesantrenan Tradisional di Pondok Pesantren Nurul Huda Kamundung Sampang,” </w:t>
      </w:r>
      <w:r w:rsidRPr="00BA4A02">
        <w:rPr>
          <w:rFonts w:ascii="Times New Roman" w:hAnsi="Times New Roman" w:cs="Times New Roman"/>
          <w:i/>
          <w:iCs/>
          <w:kern w:val="0"/>
          <w:szCs w:val="24"/>
        </w:rPr>
        <w:t>re-JIEM (Research Journal of Islamic Education Management)</w:t>
      </w:r>
      <w:r w:rsidRPr="00BA4A02">
        <w:rPr>
          <w:rFonts w:ascii="Times New Roman" w:hAnsi="Times New Roman" w:cs="Times New Roman"/>
          <w:kern w:val="0"/>
          <w:szCs w:val="24"/>
        </w:rPr>
        <w:t xml:space="preserve"> 4, no. 1 (30 Juni 2021): 72–85, https://doi.org/10.19105/re-jiem.v4i1.4820.</w:t>
      </w:r>
      <w:r w:rsidRPr="00BA4A02">
        <w:rPr>
          <w:rFonts w:ascii="Times New Roman" w:hAnsi="Times New Roman" w:cs="Times New Roman"/>
        </w:rPr>
        <w:fldChar w:fldCharType="end"/>
      </w:r>
    </w:p>
  </w:footnote>
  <w:footnote w:id="7">
    <w:p w14:paraId="58FB0D9D" w14:textId="77777777" w:rsidR="00214265" w:rsidRPr="00BA4A02" w:rsidRDefault="00214265" w:rsidP="00214265">
      <w:pPr>
        <w:pStyle w:val="FootnoteText"/>
        <w:ind w:firstLine="720"/>
        <w:jc w:val="both"/>
        <w:rPr>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{"citationID":"CogJFvpY","properties":{"formattedCitation":"Rika Khusnul Hasanah dkk., \\uc0\\u8220{}Dialektika tokoh agama dalam menjaga kerukunan,\\uc0\\u8221{} {\\i{}Bricolage\\uc0\\u8239{}: Jurnal Magister Ilmu Komunikasi} 9, no. 1 (9 Maret 2023): 117, https://doi.org/10.30813/bricolage.v9i1.3793.","plainCitation":"Rika Khusnul Hasanah dkk., “Dialektika tokoh agama dalam menjaga kerukunan,” Bricolage : Jurnal Magister Ilmu Komunikasi 9, no. 1 (9 Maret 2023): 117, https://doi.org/10.30813/bricolage.v9i1.3793.","noteIndex":7},"citationItems":[{"id":336,"uris":["http://zotero.org/users/local/gLbj58vW/items/7KGEZLTP"],"itemData":{"id":336,"type":"article-journal","abstract":"&lt;p&gt;Penelitian ini tentang komunikasi Forum Kerukunan Umat beragama dan tokoh agama yang memiliki peran dalam menjaga sebuah kerukunan umatnya. Kuala Tungkal dikenal sebagai kota yang heterogen memiliki umat yang berbagai macam ras, suku, adat dan agama . Untuk itu, maka tujuan dari penelitian ini untuk mengidentifikasi dan mendeskripsikan bagaimana komunikasi forum kerukunan umat beragama (FKUB) dan peran tokoh agama dalam menjaga kerukunan antar umat beragama di Kuala Tungkal. Tokoh agama sangat penting di setiap daerah, tokoh agama menjadi figure yang baik dan penengah disetiap permasalahan. Penelitian ini merupakan penelitian kualitatif dengan menggunakan metode pendekatan fenomenologi. Teori komunikasi organisasi sistem sosial Katz Kahn. Pengumpulan data diperoleh dari sumber data primer dan sekunder, teknik pengumpulan data berupa reduksi data, penyajian data, verifikasi dan terakhir kesimpulan. Hasil dari penelittian ini bahwa FKUB Kuala tungkal menggunakan komunikasi Interpersonal, komunikasi kelompok dan komunikasi massa. Adapun peran tokoh agama yang dijalankan oleh tokoh agama Islam, Kristen, Budha dan Hindu demi membangun toleransi masyarakat dan menjaganya agar tercipta kehidupan yang harmonis merupakan sumbangsih besar dari para tokoh agama dan masyarakat untuk kuala Tungkal. Peran itu meliputi pertama, peran dalam menjaga tradisi keagamaan, kedua peran dalam mencapai tujuan antar umat, ketiga peran dalam menjaga interaksi sosial dan, keempat peran memelihara hubungan antar tokoh dan antar umat.&lt;/p&gt;","container-title":"Bricolage : Jurnal Magister Ilmu Komunikasi","DOI":"10.30813/bricolage.v9i1.3793","ISSN":"2615-6423, 2502-0935","issue":"1","journalAbbreviation":"Bricolage","page":"117","source":"DOI.org (Crossref)","title":"Dialektika tokoh agama dalam menjaga kerukunan","volume":"9","author":[{"family":"Hasanah","given":"Rika Khusnul"},{"family":"Aryanti","given":"Nina Yudha"},{"family":"Agustina","given":"Anna"},{"family":"Trenggono","given":"Nanang"}],"issued":{"date-parts":[["2023",3,9]]}}}],"schema":"https://github.com/citation-style-language/schema/raw/master/csl-citation.json"}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Rika Khusnul Hasanah dkk., “Dialektika tokoh agama dalam menjaga kerukunan,” </w:t>
      </w:r>
      <w:r w:rsidRPr="00BA4A02">
        <w:rPr>
          <w:rFonts w:ascii="Times New Roman" w:hAnsi="Times New Roman" w:cs="Times New Roman"/>
          <w:i/>
          <w:iCs/>
          <w:kern w:val="0"/>
          <w:szCs w:val="24"/>
        </w:rPr>
        <w:t>Bricolage : Jurnal Magister Ilmu Komunikasi</w:t>
      </w:r>
      <w:r w:rsidRPr="00BA4A02">
        <w:rPr>
          <w:rFonts w:ascii="Times New Roman" w:hAnsi="Times New Roman" w:cs="Times New Roman"/>
          <w:kern w:val="0"/>
          <w:szCs w:val="24"/>
        </w:rPr>
        <w:t xml:space="preserve"> 9, no. 1 (9 Maret 2023): 117, https://doi.org/10.30813/bricolage.v9i1.3793.</w:t>
      </w:r>
      <w:r w:rsidRPr="00BA4A02">
        <w:rPr>
          <w:rFonts w:ascii="Times New Roman" w:hAnsi="Times New Roman" w:cs="Times New Roman"/>
        </w:rPr>
        <w:fldChar w:fldCharType="end"/>
      </w:r>
    </w:p>
  </w:footnote>
  <w:footnote w:id="8">
    <w:p w14:paraId="32461AC6" w14:textId="77777777" w:rsidR="00214265" w:rsidRPr="00131FF4" w:rsidRDefault="00214265" w:rsidP="00214265">
      <w:pPr>
        <w:pStyle w:val="FootnoteText"/>
        <w:ind w:firstLine="720"/>
        <w:jc w:val="both"/>
        <w:rPr>
          <w:rFonts w:ascii="Times New Roman" w:hAnsi="Times New Roman" w:cs="Times New Roman"/>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{"citationID":"BTgzrNee","properties":{"formattedCitation":"Marianus Patora, \\uc0\\u8220{}Berteologi secara moderat dalam konteks kebhinekaan,\\uc0\\u8221{} {\\i{}KURIOS} 8, no. 1 (30 April 2022): 124, https://doi.org/10.30995/kur.v8i1.477.","plainCitation":"Marianus Patora, “Berteologi secara moderat dalam konteks kebhinekaan,” KURIOS 8, no. 1 (30 April 2022): 124, https://doi.org/10.30995/kur.v8i1.477.","noteIndex":8},"citationItems":[{"id":338,"uris":["http://zotero.org/users/local/gLbj58vW/items/7BQ5BNIM"],"itemData":{"id":338,"type":"article-journal","abstract":"Doing theology is a means that can bring people to understand more about every teaching in religion so that what is understood can encourage people to apply it in everyday life. Theological ideas and views have developed very dynamically, resulting in many emerging views that are diverse, even contradicting one another. The problem that arises is when theology is not based on an attitude of respect and respect for the different views of each group, class, theological tradition, and even religion. This research is a Christian view and attitude in moderate theology in the context of Indonesian diversity. In this study, the method used is descriptive qualitative with an approach to an understanding and understanding of the importance of good theology and which does not tend to be extreme towards a particular religious group. Moderate theology within the scope of religions will be able to confront two different views and ideas by prioritizing the values of diversity as a glue to build humanist religious moderation. AbstrakBerteologi merupakan sarana yang dapat membawa manusia agar semakin memahami setiap ajaran dalam agama, sehingga apa yang dipahami dapat mendorong manusia menerapkannya dalam kehidupan sehari-hari. Gagasan serta pandangan teologi mengalami perkembangan yang sangat dinamis, sehingga banyak bermunculan pandangan yang beragam, bahkan bertentangan satu dengan yang lain. Masalah yang timbul adalah ketika berteologi tidak didasari pada sikap menghargai dan menghormati perbedaan pandangan dari setiap kelompok, golongan, tradisi teologi, bahkan agama. Penelitian ini merupakan pandangan dan sikap Kekristenan dalam berteologi secara moderat dalam konteks kebhinnekaan Indonesia. Dalam penelitian ini, metode yang digunakan adalah kualitatif deskriptif dengan pendekatan terhadap suatu pengertian dan pemahaman akan pentingnya berteologi yang baik dan yang tidak cenderung bersikap ekstrim kepada suatu kelompok agama tertentu. Berteologi secara moderat dalam lingkup agama-agama akan mampu untuk mengonfrontasikan dua pandangan serta gagasan yang berbeda dengan mengedepankan nilai-nilai kebhinnekaan sebagai suatu perekat guna membangun moderasi beragama yang humanis.","container-title":"KURIOS","DOI":"10.30995/kur.v8i1.477","ISSN":"2614-3135, 2615-739X","issue":"1","journalAbbreviation":"JTPAK","page":"124","source":"DOI.org (Crossref)","title":"Berteologi secara moderat dalam konteks kebhinekaan","volume":"8","author":[{"family":"Patora","given":"Marianus"}],"issued":{"date-parts":[["2022",4,30]]}}}],"schema":"https://github.com/citation-style-language/schema/raw/master/csl-citation.json"}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Marianus Patora, “Berteologi secara moderat dalam konteks kebhinekaan,” </w:t>
      </w:r>
      <w:r w:rsidRPr="00131FF4">
        <w:rPr>
          <w:rFonts w:ascii="Times New Roman" w:hAnsi="Times New Roman" w:cs="Times New Roman"/>
          <w:i/>
          <w:iCs/>
          <w:kern w:val="0"/>
          <w:szCs w:val="24"/>
        </w:rPr>
        <w:t>KURIOS</w:t>
      </w:r>
      <w:r w:rsidRPr="00131FF4">
        <w:rPr>
          <w:rFonts w:ascii="Times New Roman" w:hAnsi="Times New Roman" w:cs="Times New Roman"/>
          <w:kern w:val="0"/>
          <w:szCs w:val="24"/>
        </w:rPr>
        <w:t xml:space="preserve"> 8, no. 1 (30 April 2022): 124, https://doi.org/10.30995/kur.v8i1.477.</w:t>
      </w:r>
      <w:r w:rsidRPr="00131FF4">
        <w:rPr>
          <w:rFonts w:ascii="Times New Roman" w:hAnsi="Times New Roman" w:cs="Times New Roman"/>
        </w:rPr>
        <w:fldChar w:fldCharType="end"/>
      </w:r>
    </w:p>
  </w:footnote>
  <w:footnote w:id="9">
    <w:p w14:paraId="467DF67F" w14:textId="77777777" w:rsidR="00214265" w:rsidRPr="00131FF4" w:rsidRDefault="00214265" w:rsidP="00214265">
      <w:pPr>
        <w:pStyle w:val="FootnoteText"/>
        <w:ind w:firstLine="720"/>
        <w:jc w:val="both"/>
        <w:rPr>
          <w:rFonts w:ascii="Times New Roman" w:hAnsi="Times New Roman" w:cs="Times New Roman"/>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{"citationID":"s6XYnHR2","properties":{"formattedCitation":"Wulan Hastuti, Muhammad Yusuf Wibisono, dan Mohammad Taufiq Rahman, \\uc0\\u8220{}Agama dan Budaya di Pusaran Globalisasi Kontemporer,\\uc0\\u8221{} {\\i{}Integritas Terbuka: Peace and Interfaith Studies} 2, no. 1 (5 Mei 2023): 47\\uc0\\u8211{}58, https://doi.org/10.59029/int.v2i1.9.","plainCitation":"Wulan Hastuti, Muhammad Yusuf Wibisono, dan Mohammad Taufiq Rahman, “Agama dan Budaya di Pusaran Globalisasi Kontemporer,” Integritas Terbuka: Peace and Interfaith Studies 2, no. 1 (5 Mei 2023): 47–58, https://doi.org/10.59029/int.v2i1.9.","noteIndex":9},"citationItems":[{"id":340,"uris":["http://zotero.org/users/local/gLbj58vW/items/8F7PZESC"],"itemData":{"id":340,"type":"article-journal","abstract":"Globalisasi bukanlah hal yang asing lagi di masyarakat. Sebab, banyak sekali produk-produk globalisasi yang banyak dinikmati guna mempermudah kehidupan sehari-hari. Misalnya, kecanggihan perangkat teknologi. Namun, dalam prosesnya globalisasi tidak diterima dengan mudah begitu saja di masyarakat, kendati saat perubahan baru yang berasal dari globalisasi ini diterima, tentunya membutuhkan waktu yang tidaklah singkat, melainkan melalui serangkaian proses yang amat panjang. Tulisan ini berupaya menggali dan menelusuri proses terbentuknya eksistensi kebudayaan, yakni eksistensi dari globalisasi yang dalam prosesnya mengalami dinamika dan dialektika khususnya dengan dimensi agama. Metode penelitian ini ialah kualitatif deskriptif dengan pendekatan kepustakaan. Adapun temuan yang berhasil didapatkan bahwa sebuah kebudayaan itu bersifat dinamis, dan kenyataan tersebut terjadi melalui proses-proses kebudayaan yang bersifat alamiah, dinamika kebudayaan juga bisa terjadi dengan bantuan peristiwa alam yang melanda manusia. Misalnya, globalisasi yang semakin dekat dengan agama berkat adanya wabah pandemi Covid-19 yang baru saja terjadi.","container-title":"Integritas Terbuka: Peace and Interfaith Studies","DOI":"10.59029/int.v2i1.9","ISSN":"2985-301X","issue":"1","journalAbbreviation":"INT","page":"47-58","source":"DOI.org (Crossref)","title":"Agama dan Budaya di Pusaran Globalisasi Kontemporer","volume":"2","author":[{"family":"Hastuti","given":"Wulan"},{"family":"Wibisono","given":"Muhammad Yusuf"},{"family":"Rahman","given":"Mohammad Taufiq"}],"issued":{"date-parts":[["2023",5,5]]}}}],"schema":"https://github.com/citation-style-language/schema/raw/master/csl-citation.json"}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Wulan Hastuti, Muhammad Yusuf Wibisono, dan Mohammad Taufiq Rahman, “Agama dan Budaya di Pusaran Globalisasi Kontemporer,” </w:t>
      </w:r>
      <w:r w:rsidRPr="00131FF4">
        <w:rPr>
          <w:rFonts w:ascii="Times New Roman" w:hAnsi="Times New Roman" w:cs="Times New Roman"/>
          <w:i/>
          <w:iCs/>
          <w:kern w:val="0"/>
          <w:szCs w:val="24"/>
        </w:rPr>
        <w:t>Integritas Terbuka: Peace and Interfaith Studies</w:t>
      </w:r>
      <w:r w:rsidRPr="00131FF4">
        <w:rPr>
          <w:rFonts w:ascii="Times New Roman" w:hAnsi="Times New Roman" w:cs="Times New Roman"/>
          <w:kern w:val="0"/>
          <w:szCs w:val="24"/>
        </w:rPr>
        <w:t xml:space="preserve"> 2, no. 1 (5 Mei 2023): 47–58, https://doi.org/10.59029/int.v2i1.9.</w:t>
      </w:r>
      <w:r w:rsidRPr="00131FF4">
        <w:rPr>
          <w:rFonts w:ascii="Times New Roman" w:hAnsi="Times New Roman" w:cs="Times New Roman"/>
        </w:rPr>
        <w:fldChar w:fldCharType="end"/>
      </w:r>
    </w:p>
  </w:footnote>
  <w:footnote w:id="10">
    <w:p w14:paraId="6966346F" w14:textId="77777777" w:rsidR="00214265" w:rsidRPr="00131FF4" w:rsidRDefault="00214265" w:rsidP="00214265">
      <w:pPr>
        <w:pStyle w:val="FootnoteText"/>
        <w:ind w:firstLine="720"/>
        <w:jc w:val="both"/>
        <w:rPr>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{"citationID":"JIQiHkHL","properties":{"formattedCitation":"Shofiah Fitriani, \\uc0\\u8220{}Keberagaman dan Toleransi Antar Umat Beragama,\\uc0\\u8221{} {\\i{}Analisis: Jurnal Studi Keislaman} 20, no. 2 (30 Desember 2020): 179\\uc0\\u8211{}92, https://doi.org/10.24042/ajsk.v20i2.5489.","plainCitation":"Shofiah Fitriani, “Keberagaman dan Toleransi Antar Umat Beragama,” Analisis: Jurnal Studi Keislaman 20, no. 2 (30 Desember 2020): 179–92, https://doi.org/10.24042/ajsk.v20i2.5489.","noteIndex":10},"citationItems":[{"id":342,"uris":["http://zotero.org/users/local/gLbj58vW/items/TWXAXWUW"],"itemData":{"id":342,"type":"article-journal","container-title":"Analisis: Jurnal Studi Keislaman","DOI":"10.24042/ajsk.v20i2.5489","ISSN":"2502-3969, 2088-9046","issue":"2","journalAbbreviation":"analisis","page":"179-192","source":"DOI.org (Crossref)","title":"Keberagaman dan Toleransi Antar Umat Beragama","volume":"20","author":[{"family":"Fitriani","given":"Shofiah"}],"issued":{"date-parts":[["2020",12,30]]}}}],"schema":"https://github.com/citation-style-language/schema/raw/master/csl-citation.json"}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Shofiah Fitriani, “Keberagaman dan Toleransi Antar Umat Beragama,” </w:t>
      </w:r>
      <w:r w:rsidRPr="00131FF4">
        <w:rPr>
          <w:rFonts w:ascii="Times New Roman" w:hAnsi="Times New Roman" w:cs="Times New Roman"/>
          <w:i/>
          <w:iCs/>
          <w:kern w:val="0"/>
          <w:szCs w:val="24"/>
        </w:rPr>
        <w:t>Analisis: Jurnal Studi Keislaman</w:t>
      </w:r>
      <w:r w:rsidRPr="00131FF4">
        <w:rPr>
          <w:rFonts w:ascii="Times New Roman" w:hAnsi="Times New Roman" w:cs="Times New Roman"/>
          <w:kern w:val="0"/>
          <w:szCs w:val="24"/>
        </w:rPr>
        <w:t xml:space="preserve"> 20, no. 2 (30 Desember 2020): 179–92, https://doi.org/10.24042/ajsk.v20i2.5489.</w:t>
      </w:r>
      <w:r w:rsidRPr="00131FF4">
        <w:rPr>
          <w:rFonts w:ascii="Times New Roman" w:hAnsi="Times New Roman" w:cs="Times New Roman"/>
        </w:rPr>
        <w:fldChar w:fldCharType="end"/>
      </w:r>
    </w:p>
  </w:footnote>
  <w:footnote w:id="11">
    <w:p w14:paraId="10F67F69"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{"citationID":"eBtsETln","properties":{"formattedCitation":"Made Made Saihu dan Abdul Aziz, \\uc0\\u8220{}Implementasi Metode Pendidikan Pluralisme Dalam Mata Pelajaran Pendidikan Agama Islam,\\uc0\\u8221{} {\\i{}Belajea; Jurnal Pendidikan Islam} 5, no. 1 (22 Mei 2020): 131, https://doi.org/10.29240/belajea.v5i1.1037.","plainCitation":"Made Made Saihu dan Abdul Aziz, “Implementasi Metode Pendidikan Pluralisme Dalam Mata Pelajaran Pendidikan Agama Islam,” Belajea; Jurnal Pendidikan Islam 5, no. 1 (22 Mei 2020): 131, https://doi.org/10.29240/belajea.v5i1.1037.","noteIndex":11},"citationItems":[{"id":344,"uris":["http://zotero.org/users/local/gLbj58vW/items/MU64RCQM"],"itemData":{"id":344,"type":"article-journal","abstract":"This paper discusses the implementation of the method of educational pluralism in the learning of Islamic education at SMPN 4 Negara and SMAN 1 Negara in Jembrana-Bali. The paper focuses on exploring the learning methods used in the learning of Islamic religious education subjects in creating an interaction and integration between students who are Hindu and Muslim so that it leads to peaceful practices in the educational environment. Sources of data obtained through unstructured observation and interviews during November 2018 to March 2019. Writing using the theory of peace education proposed by John Dewey (1859-1952). Writing shows that the learning process of Islamic religious education with the method of pluralism can shape the character of students , both Hindus and Muslims are humanist, tolerant and inclusive. This paper also shows that to shape the character and character of students in Jembrana and to foster an understanding of diversity, is through the methods of contribution, enrichment, and decision-making and social action proposed by Allison Cumming-McCann. Thus the interaction of Hindu and Muslim students in Jembrana leads to the process of association, integration, complementation and sublimation. Ahmad Nurcholis. Merajut Damai Dalam Kebhinekaan. Jakarta: PT. Elex Media Komputindo, 2017.Aminuddin. Pengembangan Penelitian Kualitatif Dalam Bidang Bahasa Dan Sastra. Malang: Hiski, 1990.Azra, Azyumardi. “Agama Untuk Perdamaian Dunia.” Republika. 2014.———. “Pluralisme Agama Dan Multikulturalisme: Usaha Mencari Perekat Sosial.” In Reinvensi Islam Multikultural, 118. Surakarta: PSB-PS UMS, 2005.Bailey, Kennet D. Methods of Social Research. New York: A Division of Macmillan Publishing Co. Inc, 1982.Ballantine, Jeanne H. The Sociology of Education: A Systematic Analysis. Englewood Cliffs NJ: Prentice Hall, 1993.Banks, Olive. The Sociology of Education. New York: Shocken Books, 1976.Chaer, Moh. Toriqul. “Islam Dan Pendidikan Cinta Damai.” ISTAWA 2, no. 1 (2016): 73–94.Egan, Keiran. Getting It Wrong from the Beginning Our Progressivist Inheritance from Herbert Spancer, John Dewey, and Jean Peaget. Binghamtom: Vail Ballou, 2002.Gade, Syabuddin. “Perbandingan Konsep Dasar Pendidikan Antara Dewey Dan Asy-Syaibani.” Jurnal Ilmiah Didaktika 7, no. 11 (2011): 86.Knopp, Robert Bogdan Biklen and Sari. Qualitative Research for Education: An Introduction to Theory and Methods. Boston: Allyn and Bacon, 1998.Machali, Imam. “Peace Education Dan Deradikalisasi Agama.” Jurnal Pendidikan Islam 2, no. 1 (2013): 41–64. https://doi.org/10.14421/jpi.2013.21.41-64.Madjid, Nur Kholis. “Civil Society and the Investment of Democracy: Challenges and Possibilities\",.” Republika, 1999.Merriam, Sharan B. Qualitative Research: A Guide to Design and Implementation. USA: The Jossey-Bass, 2009.Muhammad Allazam. “Learning from Dewey and Vygotsky Perspective.” International Journal of Scientific &amp; Engineering Research 6, no. 7 (2015): 156–68.Mulyana, Deddy. Metodologi Penelitian Kualitatif: Paradigma Baru Ilmu Komunikasi Dan Ilmu Sosial Lainnya. Bandung: Remaja Rosdakarya, 2002.Robertson, Ian. Sociology. New York: Worth Publisher, 1977.Robinson, Philip. Beberapa Perspektif Sosiologi Pendidikan. Edited by Hasan Basri. Jakarta: Radjawali, 1986.Rosyada, Dede. Madrasah Dan Profesionalisme Guru Dalam Arus Dinamika Pendidikan Islam Di Era Otonomi Daerah. Jakarta: Kencana, 2017.Sadir, Darwis. “Piagam Madinah (Al-Qanun).” Jurnal Pemikiran Dan Pembaharuan Hukum Islam 5, no. 1 (2013): 250–57.Suseno, Franz Magnis. Etika Dasar: Masalah-Masalah Pokok Filsafat Moral. Yogyakarta: Kanisuius, 1993.Syam, Mohammad Noor. Filsafat Pendidikan Dan Dasar Filsafat Pendidikan Pancasila. Surabaya: Usaha Nasional, 1984. Wawancara dengan Drs. Putu Prapta Arya, M.Pd, tanggal 11 November 2018 Wawancara dengan Hj. Atikah, tanggal 11 November 2018Wawancara dengan I Made Mardika, S.Ag, tanggal 11 November 2018.Wawancara dengan Hj. Atikah, tanggal 11 Nopember 2018.Wawancara dengan Hj. Sri Mahayatin, S.Pd,I, tanggal 13 Nopember 2018.Wawancara dengan Hj. Sri Mahatin, S.Pd.I, tanggal 20 Februari 2019.Wawancara dengan Muhammad Fatih, tanggal 20 Maret 2019.Wawancara dengan Hj, Sri Mahayati, tanggal 20 Februari 2019.","container-title":"Belajea; Jurnal Pendidikan Islam","DOI":"10.29240/belajea.v5i1.1037","ISSN":"2548-3404, 2548-3390","issue":"1","journalAbbreviation":"belajea","page":"131","source":"DOI.org (Crossref)","title":"Implementasi Metode Pendidikan Pluralisme Dalam Mata Pelajaran Pendidikan Agama Islam","volume":"5","author":[{"family":"Saihu","given":"Made Made"},{"family":"Aziz","given":"Abdul"}],"issued":{"date-parts":[["2020",5,22]]}}}],"schema":"https://github.com/citation-style-language/schema/raw/master/csl-citation.json"}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Made Made Saihu dan Abdul Aziz, “Implementasi Metode Pendidikan Pluralisme Dalam Mata Pelajaran Pendidikan Agama Islam,” </w:t>
      </w:r>
      <w:r w:rsidRPr="008D51DA">
        <w:rPr>
          <w:rFonts w:ascii="Times New Roman" w:hAnsi="Times New Roman" w:cs="Times New Roman"/>
          <w:i/>
          <w:iCs/>
          <w:kern w:val="0"/>
          <w:szCs w:val="24"/>
        </w:rPr>
        <w:t>Belajea; Jurnal Pendidikan Islam</w:t>
      </w:r>
      <w:r w:rsidRPr="008D51DA">
        <w:rPr>
          <w:rFonts w:ascii="Times New Roman" w:hAnsi="Times New Roman" w:cs="Times New Roman"/>
          <w:kern w:val="0"/>
          <w:szCs w:val="24"/>
        </w:rPr>
        <w:t xml:space="preserve"> 5, no. 1 (22 Mei 2020): 131, https://doi.org/10.29240/belajea.v5i1.1037.</w:t>
      </w:r>
      <w:r w:rsidRPr="008D51DA">
        <w:rPr>
          <w:rFonts w:ascii="Times New Roman" w:hAnsi="Times New Roman" w:cs="Times New Roman"/>
        </w:rPr>
        <w:fldChar w:fldCharType="end"/>
      </w:r>
    </w:p>
  </w:footnote>
  <w:footnote w:id="12">
    <w:p w14:paraId="5B82A700"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{"citationID":"LSHJDVpe","properties":{"formattedCitation":"Fattah Setiawan Santoso, \\uc0\\u8220{}Masa Depan Pendidikan Hukum Islam Di Perguruan Tinggi Keagamaan Islam Refleksi Pembelajaran Di Masa Kedaruratan COVID-19,\\uc0\\u8221{} {\\i{}Ulumuddin\\uc0\\u8239{}: Jurnal Ilmu-ilmu Keislaman} 10, no. 1 (19 Juni 2020): 13\\uc0\\u8211{}26, https://doi.org/10.47200/ulumuddin.v10i1.378.","plainCitation":"Fattah Setiawan Santoso, “Masa Depan Pendidikan Hukum Islam Di Perguruan Tinggi Keagamaan Islam Refleksi Pembelajaran Di Masa Kedaruratan COVID-19,” Ulumuddin : Jurnal Ilmu-ilmu Keislaman 10, no. 1 (19 Juni 2020): 13–26, https://doi.org/10.47200/ulumuddin.v10i1.378.","noteIndex":12},"citationItems":[{"id":346,"uris":["http://zotero.org/users/local/gLbj58vW/items/S59VXS5D"],"itemData":{"id":346,"type":"article-journal","abstract":"This writing is a reflection of Islamic Law education at PTKI during the Emergency COVID-19. Through a literature review on Islamic law education and research, some basic material in Islamic law can be formulated that is useful in equipping students in responding to the internet as a source of learning. The proposed learning method then is a comparative method of law which has been ingrained in the dynamics of Islamic law since the early days of the growth of Islamic law","container-title":"Ulumuddin : Jurnal Ilmu-ilmu Keislaman","DOI":"10.47200/ulumuddin.v10i1.378","ISSN":"2685-9211, 1907-2333","issue":"1","journalAbbreviation":"UJII","page":"13-26","source":"DOI.org (Crossref)","title":"Masa Depan Pendidikan Hukum Islam Di Perguruan Tinggi Keagamaan Islam Refleksi Pembelajaran Di Masa Kedaruratan COVID-19","volume":"10","author":[{"family":"Santoso","given":"Fattah Setiawan"}],"issued":{"date-parts":[["2020",6,19]]}}}],"schema":"https://github.com/citation-style-language/schema/raw/master/csl-citation.json"}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Fattah Setiawan Santoso, “Masa Depan Pendidikan Hukum Islam Di Perguruan Tinggi Keagamaan Islam Refleksi Pembelajaran Di Masa Kedaruratan COVID-19,” </w:t>
      </w:r>
      <w:r w:rsidRPr="008D51DA">
        <w:rPr>
          <w:rFonts w:ascii="Times New Roman" w:hAnsi="Times New Roman" w:cs="Times New Roman"/>
          <w:i/>
          <w:iCs/>
          <w:kern w:val="0"/>
          <w:szCs w:val="24"/>
        </w:rPr>
        <w:t>Ulumuddin : Jurnal Ilmu-ilmu Keislaman</w:t>
      </w:r>
      <w:r w:rsidRPr="008D51DA">
        <w:rPr>
          <w:rFonts w:ascii="Times New Roman" w:hAnsi="Times New Roman" w:cs="Times New Roman"/>
          <w:kern w:val="0"/>
          <w:szCs w:val="24"/>
        </w:rPr>
        <w:t xml:space="preserve"> 10, no. 1 (19 Juni 2020): 13–26, https://doi.org/10.47200/ulumuddin.v10i1.378.</w:t>
      </w:r>
      <w:r w:rsidRPr="008D51DA">
        <w:rPr>
          <w:rFonts w:ascii="Times New Roman" w:hAnsi="Times New Roman" w:cs="Times New Roman"/>
        </w:rPr>
        <w:fldChar w:fldCharType="end"/>
      </w:r>
    </w:p>
  </w:footnote>
  <w:footnote w:id="13">
    <w:p w14:paraId="3E4D8C42" w14:textId="77777777" w:rsidR="00214265" w:rsidRPr="008D51DA" w:rsidRDefault="00214265" w:rsidP="00214265">
      <w:pPr>
        <w:pStyle w:val="FootnoteText"/>
        <w:ind w:firstLine="720"/>
        <w:jc w:val="both"/>
        <w:rPr>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{"citationID":"KsJgsaMU","properties":{"formattedCitation":"Muhammad Dwi Toriyono, Annas Ribab Sibilana, dan Bagus Wahyu Setyawan, \\uc0\\u8220{}Urgensi Pendidikan Multikultural dalam Pengembangan Karakter di Era Society 5.0 pada Perguruan Tinggi,\\uc0\\u8221{} {\\i{}Jurnal Intelektual: Jurnal Pendidikan dan Studi Keislaman} 12, no. 2 (8 September 2022): 127\\uc0\\u8211{}40, https://doi.org/10.33367/ji.v12i2.2728.","plainCitation":"Muhammad Dwi Toriyono, Annas Ribab Sibilana, dan Bagus Wahyu Setyawan, “Urgensi Pendidikan Multikultural dalam Pengembangan Karakter di Era Society 5.0 pada Perguruan Tinggi,” Jurnal Intelektual: Jurnal Pendidikan dan Studi Keislaman 12, no. 2 (8 September 2022): 127–40, https://doi.org/10.33367/ji.v12i2.2728.","noteIndex":13},"citationItems":[{"id":350,"uris":["http://zotero.org/users/local/gLbj58vW/items/X6LSVKX5"],"itemData":{"id":350,"type":"article-journal","abstract":"Along with the times, many students, especially in universities, have no character as students. Politeness, manners, and morals have begun to be underestimated. So, it is important to apply multicultural education in university as an alternative and solution to make students with the character through multicultural values. The research method used in this study is a descriptive analysis by collecting various data and sources, then analyzing and systematically describing the urgency of multicultural education in character development in the era of society 5.0 at universities. The study's results found that students' character in university began to decline. Multicultural cultural values ​​have been abandoned. Many students have ignored etiquette, manners, and behavior, especially lecturers as teachers or educators. So, through multicultural education, it is expected to contribute in terms of character building. It is implemented by providing good examples such as the habituation of respect for others, mutual respect, and advice if there is bad behavior.","container-title":"Jurnal Intelektual: Jurnal Pendidikan dan Studi Keislaman","DOI":"10.33367/ji.v12i2.2728","ISSN":"2685-4155","issue":"2","journalAbbreviation":"Intelektual","page":"127-140","source":"DOI.org (Crossref)","title":"Urgensi Pendidikan Multikultural dalam Pengembangan Karakter di Era Society 5.0 pada Perguruan Tinggi","volume":"12","author":[{"family":"Toriyono","given":"Muhammad Dwi"},{"family":"Sibilana","given":"Annas Ribab"},{"family":"Setyawan","given":"Bagus Wahyu"}],"issued":{"date-parts":[["2022",9,8]]}}}],"schema":"https://github.com/citation-style-language/schema/raw/master/csl-citation.json"}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Muhammad Dwi Toriyono, Annas Ribab Sibilana, dan Bagus Wahyu Setyawan, “Urgensi Pendidikan Multikultural dalam Pengembangan Karakter di Era Society 5.0 pada Perguruan Tinggi,” </w:t>
      </w:r>
      <w:r w:rsidRPr="008D51DA">
        <w:rPr>
          <w:rFonts w:ascii="Times New Roman" w:hAnsi="Times New Roman" w:cs="Times New Roman"/>
          <w:i/>
          <w:iCs/>
          <w:kern w:val="0"/>
          <w:szCs w:val="24"/>
        </w:rPr>
        <w:t>Jurnal Intelektual: Jurnal Pendidikan dan Studi Keislaman</w:t>
      </w:r>
      <w:r w:rsidRPr="008D51DA">
        <w:rPr>
          <w:rFonts w:ascii="Times New Roman" w:hAnsi="Times New Roman" w:cs="Times New Roman"/>
          <w:kern w:val="0"/>
          <w:szCs w:val="24"/>
        </w:rPr>
        <w:t xml:space="preserve"> 12, no. 2 (8 September 2022): 127–40, https://doi.org/10.33367/ji.v12i2.2728.</w:t>
      </w:r>
      <w:r w:rsidRPr="008D51DA">
        <w:rPr>
          <w:rFonts w:ascii="Times New Roman" w:hAnsi="Times New Roman" w:cs="Times New Roman"/>
        </w:rPr>
        <w:fldChar w:fldCharType="end"/>
      </w:r>
    </w:p>
  </w:footnote>
  <w:footnote w:id="14">
    <w:p w14:paraId="400A90F9"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{"citationID":"FVZv5aGG","properties":{"formattedCitation":"Fajar Ari Nugroho, \\uc0\\u8220{}Pemikiran KH. Abdurrahman Wahid Tentang Pribumisasi Pendidikan Islam: Solusi Integratif Menyatukan Agama dan Budaya,\\uc0\\u8221{} {\\i{}Tsaqofah dan Tarikh: Jurnal Kebudayaan dan Sejarah Islam} 6, no. 2 (6 Februari 2022): 33, https://doi.org/10.29300/ttjksi.v6i2.3910.","plainCitation":"Fajar Ari Nugroho, “Pemikiran KH. Abdurrahman Wahid Tentang Pribumisasi Pendidikan Islam: Solusi Integratif Menyatukan Agama dan Budaya,” Tsaqofah dan Tarikh: Jurnal Kebudayaan dan Sejarah Islam 6, no. 2 (6 Februari 2022): 33, https://doi.org/10.29300/ttjksi.v6i2.3910.","noteIndex":14},"citationItems":[{"id":352,"uris":["http://zotero.org/users/local/gLbj58vW/items/V9924KVZ"],"itemData":{"id":352,"type":"article-journal","abstract":"Artukel ini ditulis dengan tujuan untuk memberikan deskripsi mengenai salah satu ulama sekaligus tokoh pendidikan Indonesia yang cukup terkemuka, yakni KH. Abdurrahman Wahid berkaitan dengan pemikiran pribumisasi pendidikan Islamnya. Artikel ini ditulis dengan pendekatan deskriptif kualitatif dengan sumber data berupa jurnal, buku, dan artikel lain yang berkaitan dengan topik. Hasil dari penelitian ini memberikan pengertian bahwa berdasarkan sejarah hidupnya beliau adalah seorang yang berpendidikan dan keluasan pemikirannya meliputi banyak hal khususnya mengenai pluralisme, toleransi, dan juga pendidikan. Pemikiran beliau mengenai pendidikan cukup memiliki pengaruh atau berpengaruh terhadap perkembangan pendidikan Islam di Indonesia. Beliau adalah salah satu ulama yang dalam melakukan penyampaian pendapat memilih menggunakan cara yang bisa dibilang nyentrik dan berciri khas. Adapun kaitannya dengan pemikiran beliau mengenai pribumisasi pendidikan Islam adalah sebagai berikut: dalam pandangan Gus Dur adalah sintesis antara pemikiran Islam tradisional (yang telah ada sejak zaman dahulu) dengan pemikiran Islam modern yang diadopsi dari pengaruh globalisasi dan kemajuan zaman, sehingga mampu memberikan dan menciptakan sebuah sistem yang sesuai dengan tuntutan zaman.","container-title":"Tsaqofah dan Tarikh: Jurnal Kebudayaan dan Sejarah Islam","DOI":"10.29300/ttjksi.v6i2.3910","ISSN":"2528-732X","issue":"2","journalAbbreviation":"tsaqofah dan tarikh: j. kebud. sej. islam.","page":"33","source":"DOI.org (Crossref)","title":"Pemikiran KH. Abdurrahman Wahid Tentang Pribumisasi Pendidikan Islam: Solusi Integratif Menyatukan Agama dan Budaya","title-short":"Pemikiran KH. Abdurrahman Wahid Tentang Pribumisasi Pendidikan Islam","volume":"6","author":[{"family":"Nugroho","given":"Fajar Ari"}],"issued":{"date-parts":[["2022",2,6]]}}}],"schema":"https://github.com/citation-style-language/schema/raw/master/csl-citation.json"}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Fajar Ari Nugroho, “Pemikiran KH. Abdurrahman Wahid Tentang Pribumisasi Pendidikan Islam: Solusi Integratif Menyatukan Agama dan Budaya,” </w:t>
      </w:r>
      <w:r w:rsidRPr="008D51DA">
        <w:rPr>
          <w:rFonts w:ascii="Times New Roman" w:hAnsi="Times New Roman" w:cs="Times New Roman"/>
          <w:i/>
          <w:iCs/>
          <w:kern w:val="0"/>
          <w:szCs w:val="24"/>
        </w:rPr>
        <w:t>Tsaqofah dan Tarikh: Jurnal Kebudayaan dan Sejarah Islam</w:t>
      </w:r>
      <w:r w:rsidRPr="008D51DA">
        <w:rPr>
          <w:rFonts w:ascii="Times New Roman" w:hAnsi="Times New Roman" w:cs="Times New Roman"/>
          <w:kern w:val="0"/>
          <w:szCs w:val="24"/>
        </w:rPr>
        <w:t xml:space="preserve"> 6, no. 2 (6 Februari 2022): 33, https://doi.org/10.29300/ttjksi.v6i2.3910.</w:t>
      </w:r>
      <w:r w:rsidRPr="008D51DA">
        <w:rPr>
          <w:rFonts w:ascii="Times New Roman" w:hAnsi="Times New Roman" w:cs="Times New Roman"/>
        </w:rPr>
        <w:fldChar w:fldCharType="end"/>
      </w:r>
    </w:p>
  </w:footnote>
  <w:footnote w:id="15">
    <w:p w14:paraId="706887DB" w14:textId="77777777" w:rsidR="00214265" w:rsidRPr="008D51DA" w:rsidRDefault="00214265" w:rsidP="00214265">
      <w:pPr>
        <w:pStyle w:val="FootnoteText"/>
        <w:ind w:firstLine="720"/>
        <w:jc w:val="both"/>
        <w:rPr>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{"citationID":"iYAdQwhu","properties":{"formattedCitation":"Imroatun Jamilah, \\uc0\\u8220{}Menggali Nilai-nilai Toleransi dalam Al-Qur\\uc0\\u8217{}an dan Urgensinya dalam Kehidupan Bermasyarakat: Aplikasi Pendekatan Ma\\uc0\\u8216{}n\\uc0\\u257{} cum Maghz\\uc0\\u257{} pada QS. Al-K\\uc0\\u257{}fir\\uc0\\u363{}n (109): 1-6,\\uc0\\u8221{} {\\i{}REVELATIA Jurnal Ilmu al-Qur`an dan Tafsir} 4, no. 1 (16 Juni 2023): 41\\uc0\\u8211{}54, https://doi.org/10.19105/revelatia.v4i1.7466.","plainCitation":"Imroatun Jamilah, “Menggali Nilai-nilai Toleransi dalam Al-Qur’an dan Urgensinya dalam Kehidupan Bermasyarakat: Aplikasi Pendekatan Ma‘nā cum Maghzā pada QS. Al-Kāfirūn (109): 1-6,” REVELATIA Jurnal Ilmu al-Qur`an dan Tafsir 4, no. 1 (16 Juni 2023): 41–54, https://doi.org/10.19105/revelatia.v4i1.7466.","noteIndex":15},"citationItems":[{"id":354,"uris":["http://zotero.org/users/local/gLbj58vW/items/MWI7WGHJ"],"itemData":{"id":354,"type":"article-journal","abstract":"Humans as social beings need to have a tolerant attitude to differences of ethnicity, culture, language, and religion because tolerance leads to good relations in social life, a peaceful and harmony life. However, in reality, differences often lead to intolerance, causing conflict and hostility. This problem becomes a basis for studying and exploring the values of tolerance in the Qur’an so that it can be understood and applied in everyday life. One of the surahs that contains the values ​​of religious tolerance is QS. al-Kāfirūn (109): 1-6. By using the hermeneutic approach of ma'nā-cum-maghzā theory, it can be concluded that: (1) humans are equipped with a mind and heart, thus, it needs to be utilized optimally so that human life can run well; (2) there will be no benefit for humans when aqidah or belief is obscured; (3) fellow human beings must respect each other and respect all differences. This attitude creates a life of peace and harmony, so that humans avoid conflict and hostility; and (4) preaching properly without coercion whicht is not justified in the Qur'an.","container-title":"REVELATIA Jurnal Ilmu al-Qur`an dan Tafsir","DOI":"10.19105/revelatia.v4i1.7466","ISSN":"2721-768X, 2721-5962","issue":"1","journalAbbreviation":"Revelatia j.ilmu.al-qur'an. dan tafsir","page":"41-54","source":"DOI.org (Crossref)","title":"Menggali Nilai-nilai Toleransi dalam Al-Qur’an dan Urgensinya dalam Kehidupan Bermasyarakat: Aplikasi Pendekatan Ma‘nā cum Maghzā pada QS. Al-Kāfirūn (109): 1-6","title-short":"Menggali Nilai-nilai Toleransi dalam Al-Qur’an dan Urgensinya dalam Kehidupan Bermasyarakat","volume":"4","author":[{"family":"Jamilah","given":"Imroatun"}],"issued":{"date-parts":[["2023",6,16]]}}}],"schema":"https://github.com/citation-style-language/schema/raw/master/csl-citation.json"}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Imroatun Jamilah, “Menggali Nilai-nilai Toleransi dalam Al-Qur’an dan Urgensinya dalam Kehidupan Bermasyarakat: Aplikasi Pendekatan Ma‘nā cum Maghzā pada QS. Al-Kāfirūn (109): 1-6,” </w:t>
      </w:r>
      <w:r w:rsidRPr="008D51DA">
        <w:rPr>
          <w:rFonts w:ascii="Times New Roman" w:hAnsi="Times New Roman" w:cs="Times New Roman"/>
          <w:i/>
          <w:iCs/>
          <w:kern w:val="0"/>
          <w:szCs w:val="24"/>
        </w:rPr>
        <w:t>REVELATIA Jurnal Ilmu al-Qur`an dan Tafsir</w:t>
      </w:r>
      <w:r w:rsidRPr="008D51DA">
        <w:rPr>
          <w:rFonts w:ascii="Times New Roman" w:hAnsi="Times New Roman" w:cs="Times New Roman"/>
          <w:kern w:val="0"/>
          <w:szCs w:val="24"/>
        </w:rPr>
        <w:t xml:space="preserve"> 4, no. 1 (16 Juni 2023): 41–54, https://doi.org/10.19105/revelatia.v4i1.7466.</w:t>
      </w:r>
      <w:r w:rsidRPr="008D51DA">
        <w:rPr>
          <w:rFonts w:ascii="Times New Roman" w:hAnsi="Times New Roman" w:cs="Times New Roman"/>
        </w:rPr>
        <w:fldChar w:fldCharType="end"/>
      </w:r>
    </w:p>
  </w:footnote>
  <w:footnote w:id="16">
    <w:p w14:paraId="7530CFDF"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{"citationID":"44Wx6os0","properties":{"formattedCitation":"Alfi Sahroh dan Nayla Na\\uc0\\u8217{}imatur Rizkiyah, \\uc0\\u8220{}Nilai Kejujuran dalam Pendidikan Karakter\\uc0\\u8239{}: Studi Hadis Bukhari No. 5629,\\uc0\\u8221{} {\\i{}Nusantara: Jurnal Pendidikan Indonesia} 1, no. 2 (31 Mei 2021): 335\\uc0\\u8211{}66, https://doi.org/10.14421/njpi.2021.v1i2-6.","plainCitation":"Alfi Sahroh dan Nayla Na’imatur Rizkiyah, “Nilai Kejujuran dalam Pendidikan Karakter : Studi Hadis Bukhari No. 5629,” Nusantara: Jurnal Pendidikan Indonesia 1, no. 2 (31 Mei 2021): 335–66, https://doi.org/10.14421/njpi.2021.v1i2-6.","noteIndex":16},"citationItems":[{"id":356,"uris":["http://zotero.org/users/local/gLbj58vW/items/UGZGC4SH"],"itemData":{"id":356,"type":"article-journal","abstract":"Honesty is one of the basic forms in shaping a person's character, both from the family, school, and community environment. However, as time went on, the value of honesty began to erode. Corruption, cheating, plagiarism are one form of the erosion of the value of honesty. This paper will discuss the value of honesty by referring to the Hadith Bukhari no. 5629. This writing uses the ma'anil hadith method, examining the hadiths from takhrij hadiths, criticism of sanad, rawi, matan and understanding the meaning. The result of this writing is that Bukhari hadith no. 5629 regarding honesty is a valid hadith, both in terms of sanad, rawi, and mind. Understanding the ma'na with the language approach has also explained the essence of the ma'na contained in the hadith. The results of the implementation of the hadith show that the value of honesty in character education is formed from habits. Therefore, always speaking and being honest will lead to harmony and social order. Meanwhile, the habit of lying will lead to social conflict, both from real life and in cyberspace","container-title":"Nusantara: Jurnal Pendidikan Indonesia","DOI":"10.14421/njpi.2021.v1i2-6","ISSN":"2774-7689, 2774-3829","issue":"2","journalAbbreviation":"njpi","page":"335-366","source":"DOI.org (Crossref)","title":"Nilai Kejujuran dalam Pendidikan Karakter : Studi Hadis Bukhari No. 5629","title-short":"Nilai Kejujuran dalam Pendidikan Karakter","volume":"1","author":[{"family":"Sahroh","given":"Alfi"},{"family":"Rizkiyah","given":"Nayla Na’imatur"}],"issued":{"date-parts":[["2021",5,31]]}}}],"schema":"https://github.com/citation-style-language/schema/raw/master/csl-citation.json"}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Alfi Sahroh dan Nayla Na’imatur Rizkiyah, “Nilai Kejujuran dalam Pendidikan Karakter : Studi Hadis Bukhari No. 5629,” </w:t>
      </w:r>
      <w:r w:rsidRPr="00137642">
        <w:rPr>
          <w:rFonts w:ascii="Times New Roman" w:hAnsi="Times New Roman" w:cs="Times New Roman"/>
          <w:i/>
          <w:iCs/>
          <w:kern w:val="0"/>
          <w:szCs w:val="24"/>
        </w:rPr>
        <w:t>Nusantara: Jurnal Pendidikan Indonesia</w:t>
      </w:r>
      <w:r w:rsidRPr="00137642">
        <w:rPr>
          <w:rFonts w:ascii="Times New Roman" w:hAnsi="Times New Roman" w:cs="Times New Roman"/>
          <w:kern w:val="0"/>
          <w:szCs w:val="24"/>
        </w:rPr>
        <w:t xml:space="preserve"> 1, no. 2 (31 Mei 2021): 335–66, https://doi.org/10.14421/njpi.2021.v1i2-6.</w:t>
      </w:r>
      <w:r w:rsidRPr="00137642">
        <w:rPr>
          <w:rFonts w:ascii="Times New Roman" w:hAnsi="Times New Roman" w:cs="Times New Roman"/>
        </w:rPr>
        <w:fldChar w:fldCharType="end"/>
      </w:r>
    </w:p>
  </w:footnote>
  <w:footnote w:id="17">
    <w:p w14:paraId="6CA38CD4"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{"citationID":"RV2aq2Mi","properties":{"formattedCitation":"Inayatillah Inayatillah, \\uc0\\u8220{}Moderasi Beragama di Kalangan Milenial Peluang, Tantangan, Kompleksitas dan Tawaran Solusi,\\uc0\\u8221{} {\\i{}Tazkir\\uc0\\u8239{}: Jurnal Penelitian Ilmu-ilmu Sosial dan Keislaman} 7, no. 1 (30 Juni 2021): 123\\uc0\\u8211{}42, https://doi.org/10.24952/tazkir.v7i1.4235.","plainCitation":"Inayatillah Inayatillah, “Moderasi Beragama di Kalangan Milenial Peluang, Tantangan, Kompleksitas dan Tawaran Solusi,” Tazkir : Jurnal Penelitian Ilmu-ilmu Sosial dan Keislaman 7, no. 1 (30 Juni 2021): 123–42, https://doi.org/10.24952/tazkir.v7i1.4235.","noteIndex":17},"citationItems":[{"id":358,"uris":["http://zotero.org/users/local/gLbj58vW/items/D35M3AE8"],"itemData":{"id":358,"type":"article-journal","abstract":"The religious moderation campaign for millennials faces many challenges. The facts on the ground show that the phenomenon of radicalism is deeply rooted. The moderation program offered by the government has lost its reputation with the radicalism movement which is packaged attractively and in accordance with current trends. Through a qualitative approach and a radical paradigm of humanism, this study then tries to explore the root cause of the strengthening of radicalism and how complexities are faced by the discourse of religious moderation. This study then found several conclusions including, First, the moderation movement has been less fast and less attractive to millennials compared to the opposite movement. Second, the geneological roots of moderation and radicalism are not finished and are related to the relationship between religion and the post-independence state. Third, the influence of transnational radicalism. Fourth, socio-political-economic factors, including poverty, state violence, legal injustice, political instability, racial issues, militarism and so on. The only opportunity that the discourse of religious moderation has is the pre-independence cultural roots, through strengthening cultural values, Islamic treasures (intellectual Islam) and the welfare economic movement. If such opportunities are not utilized, the movement and discourse of religious moderation will run aground in the middle of the road.","container-title":"Tazkir : Jurnal Penelitian Ilmu-ilmu Sosial dan Keislaman","DOI":"10.24952/tazkir.v7i1.4235","ISSN":"2460-609X, 2442-7004","issue":"1","journalAbbreviation":"TAZKIR","page":"123-142","source":"DOI.org (Crossref)","title":"Moderasi Beragama di Kalangan Milenial Peluang, Tantangan, Kompleksitas dan Tawaran Solusi","volume":"7","author":[{"family":"Inayatillah","given":"Inayatillah"}],"issued":{"date-parts":[["2021",6,30]]}}}],"schema":"https://github.com/citation-style-language/schema/raw/master/csl-citation.json"}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Inayatillah Inayatillah, “Moderasi Beragama di Kalangan Milenial Peluang, Tantangan, Kompleksitas dan Tawaran Solusi,” </w:t>
      </w:r>
      <w:r w:rsidRPr="00137642">
        <w:rPr>
          <w:rFonts w:ascii="Times New Roman" w:hAnsi="Times New Roman" w:cs="Times New Roman"/>
          <w:i/>
          <w:iCs/>
          <w:kern w:val="0"/>
          <w:szCs w:val="24"/>
        </w:rPr>
        <w:t>Tazkir : Jurnal Penelitian Ilmu-ilmu Sosial dan Keislaman</w:t>
      </w:r>
      <w:r w:rsidRPr="00137642">
        <w:rPr>
          <w:rFonts w:ascii="Times New Roman" w:hAnsi="Times New Roman" w:cs="Times New Roman"/>
          <w:kern w:val="0"/>
          <w:szCs w:val="24"/>
        </w:rPr>
        <w:t xml:space="preserve"> 7, no. 1 (30 Juni 2021): 123–42, https://doi.org/10.24952/tazkir.v7i1.4235.</w:t>
      </w:r>
      <w:r w:rsidRPr="00137642">
        <w:rPr>
          <w:rFonts w:ascii="Times New Roman" w:hAnsi="Times New Roman" w:cs="Times New Roman"/>
        </w:rPr>
        <w:fldChar w:fldCharType="end"/>
      </w:r>
    </w:p>
  </w:footnote>
  <w:footnote w:id="18">
    <w:p w14:paraId="595E93BB"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{"citationID":"Kls2qIOI","properties":{"formattedCitation":"Eliza Rahma Ulinnuha dan Zeni Murtafiati Mizani, \\uc0\\u8220{}Peranan Muslimat Nahdlatul Ulama dalam Pemberdayaan Perempuan pada Bidang Sosial Keagamaan,\\uc0\\u8221{} {\\i{}MA\\uc0\\u8217{}ALIM: Jurnal Pendidikan Islam} 4, no. 1 (30 Juni 2023): 113\\uc0\\u8211{}29, https://doi.org/10.21154/maalim.v4i1.7040.","plainCitation":"Eliza Rahma Ulinnuha dan Zeni Murtafiati Mizani, “Peranan Muslimat Nahdlatul Ulama dalam Pemberdayaan Perempuan pada Bidang Sosial Keagamaan,” MA’ALIM: Jurnal Pendidikan Islam 4, no. 1 (30 Juni 2023): 113–29, https://doi.org/10.21154/maalim.v4i1.7040.","noteIndex":18},"citationItems":[{"id":361,"uris":["http://zotero.org/users/local/gLbj58vW/items/BZLYI34D"],"itemData":{"id":361,"type":"article-journal","abstract":"Stereotypes that think women are weak, very dependent on men, and cannot be independent are still widely found today, including in Papungan Village, Pitu District, Ngawi Regency. This study aims to determine the role of Nahdhatul Ulama Muslims in Papungan Village in empowering women in the socio-religious field. This study uses a qualitative approach. Data analysis is based on the concept of Milles and Hubberman, namely data reduction, data presentation, and conclusion. The results of the first study, the role of Muslimat Nahdhatul Ulama in empowerment is by educating, guiding, training, and directing through yasinan, tadarus al-Qur`an, banjari al-Barjan, and recitation activities. Second, the supporting factors that influence empowerment are the support from the village head, the spirit of participation from members, and infrastructure. While the inhibiting factors are the lack of optimal motivation, time discipline, situations and conditions as well as differences in backgrounds. Third, the impact of the Muslimat movement in the spiritual context, the changes experienced by the community, which can increase the faith of piety and make it easier for mothers to read the Koran. Whereas in an intellectual context, adding new knowledge, and optimizing talent in banjari and al-Barjan activities. Whereas in the economic context, activities that can shape changes in mothers are increasing income through bisyaroh when there is an offer of hadroh and leading yasinan.","container-title":"MA'ALIM: Jurnal Pendidikan Islam","DOI":"10.21154/maalim.v4i1.7040","ISSN":"2745-6285, 2745-6293","issue":"1","journalAbbreviation":"maalim","page":"113-129","source":"DOI.org (Crossref)","title":"Peranan Muslimat Nahdlatul Ulama dalam Pemberdayaan Perempuan pada Bidang Sosial Keagamaan","volume":"4","author":[{"family":"Ulinnuha","given":"Eliza Rahma"},{"family":"Mizani","given":"Zeni Murtafiati"}],"issued":{"date-parts":[["2023",6,30]]}}}],"schema":"https://github.com/citation-style-language/schema/raw/master/csl-citation.json"}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Eliza Rahma Ulinnuha dan Zeni Murtafiati Mizani, “Peranan Muslimat Nahdlatul Ulama dalam Pemberdayaan Perempuan pada Bidang Sosial Keagamaan,” </w:t>
      </w:r>
      <w:r w:rsidRPr="00137642">
        <w:rPr>
          <w:rFonts w:ascii="Times New Roman" w:hAnsi="Times New Roman" w:cs="Times New Roman"/>
          <w:i/>
          <w:iCs/>
          <w:kern w:val="0"/>
          <w:szCs w:val="24"/>
        </w:rPr>
        <w:t>MA’ALIM: Jurnal Pendidikan Islam</w:t>
      </w:r>
      <w:r w:rsidRPr="00137642">
        <w:rPr>
          <w:rFonts w:ascii="Times New Roman" w:hAnsi="Times New Roman" w:cs="Times New Roman"/>
          <w:kern w:val="0"/>
          <w:szCs w:val="24"/>
        </w:rPr>
        <w:t xml:space="preserve"> 4, no. 1 (30 Juni 2023): 113–29, https://doi.org/10.21154/maalim.v4i1.7040.</w:t>
      </w:r>
      <w:r w:rsidRPr="00137642">
        <w:rPr>
          <w:rFonts w:ascii="Times New Roman" w:hAnsi="Times New Roman" w:cs="Times New Roman"/>
        </w:rPr>
        <w:fldChar w:fldCharType="end"/>
      </w:r>
    </w:p>
  </w:footnote>
  <w:footnote w:id="19">
    <w:p w14:paraId="1C564A5F"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{"citationID":"l63grbyS","properties":{"formattedCitation":"Egi Sukma Baihaki, \\uc0\\u8220{}Islam dalam Merespons Era Digital,\\uc0\\u8221{} {\\i{}SANGK\\uc0\\u233{}P: Jurnal Kajian Sosial Keagamaan} 3, no. 2 (25 Juli 2020): 185\\uc0\\u8211{}208, https://doi.org/10.20414/sangkep.v3i2.1926.","plainCitation":"Egi Sukma Baihaki, “Islam dalam Merespons Era Digital,” SANGKéP: Jurnal Kajian Sosial Keagamaan 3, no. 2 (25 Juli 2020): 185–208, https://doi.org/10.20414/sangkep.v3i2.1926.","noteIndex":19},"citationItems":[{"id":363,"uris":["http://zotero.org/users/local/gLbj58vW/items/RJAV4JBW"],"itemData":{"id":363,"type":"article-journal","abstract":"Studi ini akan membahas bagaimana tantangan yang dihadapi umat beragama dalam membangun dan memelihara komunikasi dan interaksi yang telah ada selama ini. Kehadiran era digital telah membawa banyak pengaruh terhadap sudut pandang hubungan keagamaan, di antaranya dapat memengaruhi hubungan yang telah dibangun dengan baik. Kehadiran hoax, ujaran kebencian, dan ajaran radikal telah berkembang banyak berkat kehadiran teknologi digital. Penelitian ini menggunakan pendekatan tinjauan literatur, dapat dijelaskan bahwa para pemimpin agama harus mampu beradaptasi dengan perkembangan teknologi. Penguasaan konten dan sikap dalam menanggapi era digital akan sangat membantu dalam menjaga hubungan antaragama. Islam memiliki banyak ajaran untuk terus memelihara dan membangun komunikasi antaragama.","container-title":"SANGKéP: Jurnal Kajian Sosial Keagamaan","DOI":"10.20414/sangkep.v3i2.1926","ISSN":"2656-0798, 2654-6612","issue":"2","journalAbbreviation":"sangkep","page":"185-208","source":"DOI.org (Crossref)","title":"Islam dalam Merespons Era Digital","volume":"3","author":[{"family":"Baihaki","given":"Egi Sukma"}],"issued":{"date-parts":[["2020",7,25]]}}}],"schema":"https://github.com/citation-style-language/schema/raw/master/csl-citation.json"}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Egi Sukma Baihaki, “Islam dalam Merespons Era Digital,” </w:t>
      </w:r>
      <w:r w:rsidRPr="00137642">
        <w:rPr>
          <w:rFonts w:ascii="Times New Roman" w:hAnsi="Times New Roman" w:cs="Times New Roman"/>
          <w:i/>
          <w:iCs/>
          <w:kern w:val="0"/>
          <w:szCs w:val="24"/>
        </w:rPr>
        <w:t>SANGKéP: Jurnal Kajian Sosial Keagamaan</w:t>
      </w:r>
      <w:r w:rsidRPr="00137642">
        <w:rPr>
          <w:rFonts w:ascii="Times New Roman" w:hAnsi="Times New Roman" w:cs="Times New Roman"/>
          <w:kern w:val="0"/>
          <w:szCs w:val="24"/>
        </w:rPr>
        <w:t xml:space="preserve"> 3, no. 2 (25 Juli 2020): 185–208, https://doi.org/10.20414/sangkep.v3i2.1926.</w:t>
      </w:r>
      <w:r w:rsidRPr="00137642">
        <w:rPr>
          <w:rFonts w:ascii="Times New Roman" w:hAnsi="Times New Roman" w:cs="Times New Roman"/>
        </w:rPr>
        <w:fldChar w:fldCharType="end"/>
      </w:r>
    </w:p>
  </w:footnote>
  <w:footnote w:id="20">
    <w:p w14:paraId="356FE565" w14:textId="77777777" w:rsidR="00214265" w:rsidRPr="00150EEE" w:rsidRDefault="00214265" w:rsidP="00214265">
      <w:pPr>
        <w:pStyle w:val="FootnoteText"/>
        <w:ind w:firstLine="720"/>
        <w:jc w:val="both"/>
        <w:rPr>
          <w:rFonts w:ascii="Times New Roman" w:hAnsi="Times New Roman" w:cs="Times New Roman"/>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{"citationID":"4pk2YzNG","properties":{"formattedCitation":"Ramli Muasmara dan Nahrim Ajmain, \\uc0\\u8220{}Akulturasi Islam dan Budaya Nusantara,\\uc0\\u8221{} {\\i{}TANJAK: Journal of Education and Teaching} 1, no. 2 (11 Agustus 2020): 111\\uc0\\u8211{}25, https://doi.org/10.35961/tanjak.v1i2.150.","plainCitation":"Ramli Muasmara dan Nahrim Ajmain, “Akulturasi Islam dan Budaya Nusantara,” TANJAK: Journal of Education and Teaching 1, no. 2 (11 Agustus 2020): 111–25, https://doi.org/10.35961/tanjak.v1i2.150.","noteIndex":20},"citationItems":[{"id":365,"uris":["http://zotero.org/users/local/gLbj58vW/items/CK3NQ9J6"],"itemData":{"id":365,"type":"article-journal","abstract":"Akulturasi merupakan merupakan suatu proses sosial yang timbul bila suatu kelompok manusia dengan satu kebudayaan dihadapkan dengan unsur-unsur kebudayaan asing, sehingga dapat diterima dan diolah kedalam kebudayaan sendiri tanpa menyebabkan hilangnya kepribadian kebudayaan aslinya. Islam memiliki peran sentral dalam tatanan budaya Nusantara pada hari ini. Akulturasi Islam dan budaya di Nusantara terjadi dalam proses cukup panjang dengan mengedepankan kaidah al-‘Adah muhakkamah (adat kebiasaan bisa dijadikan sumber hukum) sehingga lahirlah perpaduan antara budaya local dengan nilai-nilai Islam di Nusantara pada aspek politik, social, pendidikan, sastra dan bahasa serta arsitek dan seni","container-title":"TANJAK: Journal of Education and Teaching","DOI":"10.35961/tanjak.v1i2.150","ISSN":"2720-8966, 2716-4098","issue":"2","journalAbbreviation":"tanjak","page":"111-125","source":"DOI.org (Crossref)","title":"Akulturasi Islam dan Budaya Nusantara","volume":"1","author":[{"family":"Muasmara","given":"Ramli"},{"family":"Ajmain","given":"Nahrim"}],"issued":{"date-parts":[["2020",8,11]]}}}],"schema":"https://github.com/citation-style-language/schema/raw/master/csl-citation.json"}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Ramli Muasmara dan Nahrim Ajmain, “Akulturasi Islam dan Budaya Nusantara,” </w:t>
      </w:r>
      <w:r w:rsidRPr="00150EEE">
        <w:rPr>
          <w:rFonts w:ascii="Times New Roman" w:hAnsi="Times New Roman" w:cs="Times New Roman"/>
          <w:i/>
          <w:iCs/>
          <w:kern w:val="0"/>
          <w:szCs w:val="24"/>
        </w:rPr>
        <w:t>TANJAK: Journal of Education and Teaching</w:t>
      </w:r>
      <w:r w:rsidRPr="00150EEE">
        <w:rPr>
          <w:rFonts w:ascii="Times New Roman" w:hAnsi="Times New Roman" w:cs="Times New Roman"/>
          <w:kern w:val="0"/>
          <w:szCs w:val="24"/>
        </w:rPr>
        <w:t xml:space="preserve"> 1, no. 2 (11 Agustus 2020): 111–25, https://doi.org/10.35961/tanjak.v1i2.150.</w:t>
      </w:r>
      <w:r w:rsidRPr="00150EEE">
        <w:rPr>
          <w:rFonts w:ascii="Times New Roman" w:hAnsi="Times New Roman" w:cs="Times New Roman"/>
        </w:rPr>
        <w:fldChar w:fldCharType="end"/>
      </w:r>
    </w:p>
  </w:footnote>
  <w:footnote w:id="21">
    <w:p w14:paraId="20C02717" w14:textId="77777777" w:rsidR="00214265" w:rsidRPr="00150EEE" w:rsidRDefault="00214265" w:rsidP="00214265">
      <w:pPr>
        <w:pStyle w:val="FootnoteText"/>
        <w:ind w:firstLine="720"/>
        <w:jc w:val="both"/>
        <w:rPr>
          <w:rFonts w:ascii="Times New Roman" w:hAnsi="Times New Roman" w:cs="Times New Roman"/>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{"citationID":"vRp0mH0P","properties":{"formattedCitation":"Ahmad Tarmizi Hasibuan dan Ely Rahmawati, \\uc0\\u8220{}Pendidikan Islam Informal dan Peran Sumber Daya Manusia Dalam Perkembangan Masyarakat: Studi Evaluasi Teoretis,\\uc0\\u8221{} {\\i{}Tarbiyatuna: Jurnal Pendidikan Islam} 15, no. 1 (15 Februari 2022): 24, https://doi.org/10.36835/tarbiyatuna.v15i1.1182.","plainCitation":"Ahmad Tarmizi Hasibuan dan Ely Rahmawati, “Pendidikan Islam Informal dan Peran Sumber Daya Manusia Dalam Perkembangan Masyarakat: Studi Evaluasi Teoretis,” Tarbiyatuna: Jurnal Pendidikan Islam 15, no. 1 (15 Februari 2022): 24, https://doi.org/10.36835/tarbiyatuna.v15i1.1182.","noteIndex":21},"citationItems":[{"id":367,"uris":["http://zotero.org/users/local/gLbj58vW/items/KB4CLY6V"],"itemData":{"id":367,"type":"article-journal","abstract":"Penelitian ini menjelaskan kajian pendidikan Islam dalam setting informal, korespondensi dengan pengembangan sumber daya manusia dan peran pengembangannya untuk menciptakan lingkungan yang sehat dan seimbang dalam masyarakat dengan nilai moral dan spiritual. Pendidikan islam tidak hanya berfokus dalam pendidikan yang bersifat formal saja, namuan nonformal serta informal juga perlu menjadi pusat perhatian. Pendidikan islam informal memberikan kontribusinya dalam dunia pendidikan dalam islam, namun perlu adanya sebuah evaluasi dalam sisitem dan implementasinya, supaya mampu berperan dalam mengembangkan sumber daya manusia dalam masyarakat. Jenis penelitian menggunakan pendekatan kualitatif dengan metode Library Research. kemudian datanya dituangkan dengan cara mendeskripsikan hasil analisis. Hasil dalam penelitian berisi dua kajian yaitu, Pertama membahas pendidikan dan fungsinya secara umum dan kemudian pendidikan dari perspektif Islam. Kedua, membahas tentang karakter pendidikan Islam informal, para pemain peran di lapangan pendidikan Islam informal, statusnya sebagai guru, peran guru, kompetensi guru, dan hubungan guru-peserta didik dalam terang budaya dan warisan Islam. Kata kunci: Pendidikan Islam, Sumber Daya Manusia.","container-title":"Tarbiyatuna: Jurnal Pendidikan Islam","DOI":"10.36835/tarbiyatuna.v15i1.1182","ISSN":"2442-4579, 2085-6539","issue":"1","journalAbbreviation":"Tarbiyatuna","page":"24","source":"DOI.org (Crossref)","title":"Pendidikan Islam Informal dan Peran Sumber Daya Manusia Dalam Perkembangan Masyarakat: Studi Evaluasi Teoretis","title-short":"PENDIDIKAN ISLAM INFORMAL DAN PERAN SUMBER DAYA MANUSIA DALAM PERKEMBANGAN MASYARAKAT","volume":"15","author":[{"family":"Hasibuan","given":"Ahmad Tarmizi"},{"family":"Rahmawati","given":"Ely"}],"issued":{"date-parts":[["2022",2,15]]}}}],"schema":"https://github.com/citation-style-language/schema/raw/master/csl-citation.json"}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Ahmad Tarmizi Hasibuan dan Ely Rahmawati, “Pendidikan Islam Informal dan Peran Sumber Daya Manusia Dalam Perkembangan Masyarakat: Studi Evaluasi Teoretis,” </w:t>
      </w:r>
      <w:r w:rsidRPr="00150EEE">
        <w:rPr>
          <w:rFonts w:ascii="Times New Roman" w:hAnsi="Times New Roman" w:cs="Times New Roman"/>
          <w:i/>
          <w:iCs/>
          <w:kern w:val="0"/>
          <w:szCs w:val="24"/>
        </w:rPr>
        <w:t>Tarbiyatuna: Jurnal Pendidikan Islam</w:t>
      </w:r>
      <w:r w:rsidRPr="00150EEE">
        <w:rPr>
          <w:rFonts w:ascii="Times New Roman" w:hAnsi="Times New Roman" w:cs="Times New Roman"/>
          <w:kern w:val="0"/>
          <w:szCs w:val="24"/>
        </w:rPr>
        <w:t xml:space="preserve"> 15, no. 1 (15 Februari 2022): 24, https://doi.org/10.36835/tarbiyatuna.v15i1.1182.</w:t>
      </w:r>
      <w:r w:rsidRPr="00150EEE">
        <w:rPr>
          <w:rFonts w:ascii="Times New Roman" w:hAnsi="Times New Roman" w:cs="Times New Roman"/>
        </w:rPr>
        <w:fldChar w:fldCharType="end"/>
      </w:r>
    </w:p>
  </w:footnote>
  <w:footnote w:id="22">
    <w:p w14:paraId="06A85734" w14:textId="77777777" w:rsidR="00214265" w:rsidRPr="00150EEE" w:rsidRDefault="00214265" w:rsidP="00214265">
      <w:pPr>
        <w:pStyle w:val="FootnoteText"/>
        <w:ind w:firstLine="720"/>
        <w:rPr>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{"citationID":"lexKsBQF","properties":{"formattedCitation":"Julita Lestari, \\uc0\\u8220{}Pluralisme Agama di Indonesia: Tantangan dan Peluang Bagi Keutuhan Bangsa,\\uc0\\u8221{} {\\i{}Al-Adyan: Journal of Religious Studies} 1, no. 1 (6 Agustus 2020): 29\\uc0\\u8211{}38, https://doi.org/10.15548/al-adyan.v1i1.1714.","plainCitation":"Julita Lestari, “Pluralisme Agama di Indonesia: Tantangan dan Peluang Bagi Keutuhan Bangsa,” Al-Adyan: Journal of Religious Studies 1, no. 1 (6 Agustus 2020): 29–38, https://doi.org/10.15548/al-adyan.v1i1.1714.","noteIndex":22},"citationItems":[{"id":369,"uris":["http://zotero.org/users/local/gLbj58vW/items/YYIHMASH"],"itemData":{"id":369,"type":"article-journal","abstract":"Diversity of religion on the one hand gave birth to segregate among the religious followers. On the other hand, uniting is driven by mutual respect for differences. This article studies the two side of these plurality in Indonesia as a state which is built from the diversity of religions. In Indonesia, plurality has twu potentials, namely opportunities and challenges for the national integrity. The biggest chllenge of this nation is the tendency of conflict which is derrived by the truth claim of each religious group. While, the opportuniy of plurality of the nation is tolerance of each religious followers for the integrity of the nation.Keberagaman agama di satu sisi cenderung melahirkan perpecahan di kalangan umat beragama. Di sisi lain persatuan yang didorong oleh sikap saling menghargai akan perbedaan yang ada. Artikel ini mengkaji kedua sisi pluralisme di Indonesia sebagai sebagai negara yang terbangun dari keragaman agama. Pluralitas agama di Indonesia memiliki tantangan dan peluang bagi keutuhan bangsa. Tantangan terbesar pluralitas bangsa ini adalah kecenderungan konflik yang bersumber dari truth claim (klaim kebenaran) masing-masing kelompok keagamaan. Sementara peluang pluralitas adalah sikap toleransi masing-masing penganut agama yang menopang keutuhan bangsa.","container-title":"Al-Adyan: Journal of Religious Studies","DOI":"10.15548/al-adyan.v1i1.1714","ISSN":"2723-682X, 2745-519X","issue":"1","journalAbbreviation":"Al-Adyan","page":"29-38","source":"DOI.org (Crossref)","title":"Pluralisme Agama di Indonesia: Tantangan dan Peluang Bagi Keutuhan Bangsa","title-short":"PLURALISME AGAMA DI INDONESIA","volume":"1","author":[{"family":"Lestari","given":"Julita"}],"issued":{"date-parts":[["2020",8,6]]}}}],"schema":"https://github.com/citation-style-language/schema/raw/master/csl-citation.json"}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Julita Lestari, “Pluralisme Agama di Indonesia: Tantangan dan Peluang Bagi Keutuhan Bangsa,” </w:t>
      </w:r>
      <w:r w:rsidRPr="00150EEE">
        <w:rPr>
          <w:rFonts w:ascii="Times New Roman" w:hAnsi="Times New Roman" w:cs="Times New Roman"/>
          <w:i/>
          <w:iCs/>
          <w:kern w:val="0"/>
          <w:szCs w:val="24"/>
        </w:rPr>
        <w:t>Al-Adyan: Journal of Religious Studies</w:t>
      </w:r>
      <w:r w:rsidRPr="00150EEE">
        <w:rPr>
          <w:rFonts w:ascii="Times New Roman" w:hAnsi="Times New Roman" w:cs="Times New Roman"/>
          <w:kern w:val="0"/>
          <w:szCs w:val="24"/>
        </w:rPr>
        <w:t xml:space="preserve"> 1, no. 1 (6 Agustus 2020): 29–38, https://doi.org/10.15548/al-adyan.v1i1.1714.</w:t>
      </w:r>
      <w:r w:rsidRPr="00150EEE">
        <w:rPr>
          <w:rFonts w:ascii="Times New Roman" w:hAnsi="Times New Roman" w:cs="Times New Roman"/>
        </w:rPr>
        <w:fldChar w:fldCharType="end"/>
      </w:r>
    </w:p>
  </w:footnote>
  <w:footnote w:id="23">
    <w:p w14:paraId="03262210" w14:textId="77777777" w:rsidR="00214265" w:rsidRPr="00CE0D1D" w:rsidRDefault="00214265" w:rsidP="00214265">
      <w:pPr>
        <w:pStyle w:val="FootnoteText"/>
        <w:ind w:firstLine="720"/>
        <w:jc w:val="both"/>
        <w:rPr>
          <w:rFonts w:ascii="Times New Roman" w:hAnsi="Times New Roman" w:cs="Times New Roman"/>
          <w:lang w:val="en-US"/>
        </w:rPr>
      </w:pPr>
      <w:r w:rsidRPr="00CE0D1D">
        <w:rPr>
          <w:rStyle w:val="FootnoteReference"/>
          <w:rFonts w:ascii="Times New Roman" w:hAnsi="Times New Roman" w:cs="Times New Roman"/>
        </w:rPr>
        <w:footnoteRef/>
      </w:r>
      <w:r w:rsidRPr="00CE0D1D">
        <w:rPr>
          <w:rFonts w:ascii="Times New Roman" w:hAnsi="Times New Roman" w:cs="Times New Roman"/>
        </w:rPr>
        <w:t xml:space="preserve"> </w:t>
      </w:r>
      <w:r w:rsidRPr="00CE0D1D">
        <w:rPr>
          <w:rFonts w:ascii="Times New Roman" w:hAnsi="Times New Roman" w:cs="Times New Roman"/>
        </w:rPr>
        <w:fldChar w:fldCharType="begin"/>
      </w:r>
      <w:r w:rsidRPr="00CE0D1D">
        <w:rPr>
          <w:rFonts w:ascii="Times New Roman" w:hAnsi="Times New Roman" w:cs="Times New Roman"/>
        </w:rPr>
        <w:instrText xml:space="preserve"> ADDIN ZOTERO_ITEM CSL_CITATION {"citationID":"giZecC38","properties":{"formattedCitation":"Saihu dan Aziz, \\uc0\\u8220{}Implementasi Metode Pendidikan Pluralisme Dalam Mata Pelajaran Pendidikan Agama Islam.\\uc0\\u8221{}","plainCitation":"Saihu dan Aziz, “Implementasi Metode Pendidikan Pluralisme Dalam Mata Pelajaran Pendidikan Agama Islam.”","noteIndex":23},"citationItems":[{"id":344,"uris":["http://zotero.org/users/local/gLbj58vW/items/MU64RCQM"],"itemData":{"id":344,"type":"article-journal","abstract":"This paper discusses the implementation of the method of educational pluralism in the learning of Islamic education at SMPN 4 Negara and SMAN 1 Negara in Jembrana-Bali. The paper focuses on exploring the learning methods used in the learning of Islamic religious education subjects in creating an interaction and integration between students who are Hindu and Muslim so that it leads to peaceful practices in the educational environment. Sources of data obtained through unstructured observation and interviews during November 2018 to March 2019. Writing using the theory of peace education proposed by John Dewey (1859-1952). Writing shows that the learning process of Islamic religious education with the method of pluralism can shape the character of students , both Hindus and Muslims are humanist, tolerant and inclusive. This paper also shows that to shape the character and character of students in Jembrana and to foster an understanding of diversity, is through the methods of contribution, enrichment, and decision-making and social action proposed by Allison Cumming-McCann. Thus the interaction of Hindu and Muslim students in Jembrana leads to the process of association, integration, complementation and sublimation. Ahmad Nurcholis. Merajut Damai Dalam Kebhinekaan. Jakarta: PT. Elex Media Komputindo, 2017.Aminuddin. Pengembangan Penelitian Kualitatif Dalam Bidang Bahasa Dan Sastra. Malang: Hiski, 1990.Azra, Azyumardi. “Agama Untuk Perdamaian Dunia.” Republika. 2014.———. “Pluralisme Agama Dan Multikulturalisme: Usaha Mencari Perekat Sosial.” In Reinvensi Islam Multikultural, 118. Surakarta: PSB-PS UMS, 2005.Bailey, Kennet D. Methods of Social Research. New York: A Division of Macmillan Publishing Co. Inc, 1982.Ballantine, Jeanne H. The Sociology of Education: A Systematic Analysis. Englewood Cliffs NJ: Prentice Hall, 1993.Banks, Olive. The Sociology of Education. New York: Shocken Books, 1976.Chaer, Moh. Toriqul. “Islam Dan Pendidikan Cinta Damai.” ISTAWA 2, no. 1 (2016): 73–94.Egan, Keiran. Getting It Wrong from the Beginning Our Progressivist Inheritance from Herbert Spancer, John Dewey, and Jean Peaget. Binghamtom: Vail Ballou, 2002.Gade, Syabuddin. “Perbandingan Konsep Dasar Pendidikan Antara Dewey Dan Asy-Syaibani.” Jurnal Ilmiah Didaktika 7, no. 11 (2011): 86.Knopp, Robert Bogdan Biklen and Sari. Qualitative Research for Education: An Introduction to Theory and Methods. Boston: Allyn and Bacon, 1998.Machali, Imam. “Peace Education Dan Deradikalisasi Agama.” Jurnal Pendidikan Islam 2, no. 1 (2013): 41–64. https://doi.org/10.14421/jpi.2013.21.41-64.Madjid, Nur Kholis. “Civil Society and the Investment of Democracy: Challenges and Possibilities\",.” Republika, 1999.Merriam, Sharan B. Qualitative Research: A Guide to Design and Implementation. USA: The Jossey-Bass, 2009.Muhammad Allazam. “Learning from Dewey and Vygotsky Perspective.” International Journal of Scientific &amp; Engineering Research 6, no. 7 (2015): 156–68.Mulyana, Deddy. Metodologi Penelitian Kualitatif: Paradigma Baru Ilmu Komunikasi Dan Ilmu Sosial Lainnya. Bandung: Remaja Rosdakarya, 2002.Robertson, Ian. Sociology. New York: Worth Publisher, 1977.Robinson, Philip. Beberapa Perspektif Sosiologi Pendidikan. Edited by Hasan Basri. Jakarta: Radjawali, 1986.Rosyada, Dede. Madrasah Dan Profesionalisme Guru Dalam Arus Dinamika Pendidikan Islam Di Era Otonomi Daerah. Jakarta: Kencana, 2017.Sadir, Darwis. “Piagam Madinah (Al-Qanun).” Jurnal Pemikiran Dan Pembaharuan Hukum Islam 5, no. 1 (2013): 250–57.Suseno, Franz Magnis. Etika Dasar: Masalah-Masalah Pokok Filsafat Moral. Yogyakarta: Kanisuius, 1993.Syam, Mohammad Noor. Filsafat Pendidikan Dan Dasar Filsafat Pendidikan Pancasila. Surabaya: Usaha Nasional, 1984. Wawancara dengan Drs. Putu Prapta Arya, M.Pd, tanggal 11 November 2018 Wawancara dengan Hj. Atikah, tanggal 11 November 2018Wawancara dengan I Made Mardika, S.Ag, tanggal 11 November 2018.Wawancara dengan Hj. Atikah, tanggal 11 Nopember 2018.Wawancara dengan Hj. Sri Mahayatin, S.Pd,I, tanggal 13 Nopember 2018.Wawancara dengan Hj. Sri Mahatin, S.Pd.I, tanggal 20 Februari 2019.Wawancara dengan Muhammad Fatih, tanggal 20 Maret 2019.Wawancara dengan Hj, Sri Mahayati, tanggal 20 Februari 2019.","container-title":"Belajea; Jurnal Pendidikan Islam","DOI":"10.29240/belajea.v5i1.1037","ISSN":"2548-3404, 2548-3390","issue":"1","journalAbbreviation":"belajea","page":"131","source":"DOI.org (Crossref)","title":"Implementasi Metode Pendidikan Pluralisme Dalam Mata Pelajaran Pendidikan Agama Islam","volume":"5","author":[{"family":"Saihu","given":"Made Made"},{"family":"Aziz","given":"Abdul"}],"issued":{"date-parts":[["2020",5,22]]}}}],"schema":"https://github.com/citation-style-language/schema/raw/master/csl-citation.json"} </w:instrText>
      </w:r>
      <w:r w:rsidRPr="00CE0D1D">
        <w:rPr>
          <w:rFonts w:ascii="Times New Roman" w:hAnsi="Times New Roman" w:cs="Times New Roman"/>
        </w:rPr>
        <w:fldChar w:fldCharType="separate"/>
      </w:r>
      <w:r w:rsidRPr="00CE0D1D">
        <w:rPr>
          <w:rFonts w:ascii="Times New Roman" w:hAnsi="Times New Roman" w:cs="Times New Roman"/>
          <w:kern w:val="0"/>
          <w:szCs w:val="24"/>
        </w:rPr>
        <w:t>Saihu dan Aziz, “Implementasi Metode Pendidikan Pluralisme Dalam Mata Pelajaran Pendidikan Agama Islam.”</w:t>
      </w:r>
      <w:r w:rsidRPr="00CE0D1D">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049"/>
    <w:multiLevelType w:val="hybridMultilevel"/>
    <w:tmpl w:val="B6F4309E"/>
    <w:lvl w:ilvl="0" w:tplc="36163F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9554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65"/>
    <w:rsid w:val="00214265"/>
    <w:rsid w:val="002937B4"/>
    <w:rsid w:val="0032682A"/>
    <w:rsid w:val="00413C27"/>
    <w:rsid w:val="004462F5"/>
    <w:rsid w:val="006D3CD8"/>
    <w:rsid w:val="007D67FC"/>
    <w:rsid w:val="007F0FB3"/>
    <w:rsid w:val="0084723E"/>
    <w:rsid w:val="0095531F"/>
    <w:rsid w:val="009626D5"/>
    <w:rsid w:val="009A22F4"/>
    <w:rsid w:val="00A26017"/>
    <w:rsid w:val="00DA7519"/>
    <w:rsid w:val="00E734E0"/>
    <w:rsid w:val="00F05E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AD60"/>
  <w15:chartTrackingRefBased/>
  <w15:docId w15:val="{86F329E9-6051-48B9-93AC-7FE49336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65"/>
    <w:pPr>
      <w:ind w:left="720"/>
      <w:contextualSpacing/>
    </w:pPr>
  </w:style>
  <w:style w:type="character" w:styleId="Hyperlink">
    <w:name w:val="Hyperlink"/>
    <w:basedOn w:val="DefaultParagraphFont"/>
    <w:uiPriority w:val="99"/>
    <w:unhideWhenUsed/>
    <w:rsid w:val="00214265"/>
    <w:rPr>
      <w:color w:val="0563C1" w:themeColor="hyperlink"/>
      <w:u w:val="single"/>
    </w:rPr>
  </w:style>
  <w:style w:type="paragraph" w:styleId="FootnoteText">
    <w:name w:val="footnote text"/>
    <w:basedOn w:val="Normal"/>
    <w:link w:val="FootnoteTextChar"/>
    <w:uiPriority w:val="99"/>
    <w:semiHidden/>
    <w:unhideWhenUsed/>
    <w:rsid w:val="0021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265"/>
    <w:rPr>
      <w:sz w:val="20"/>
      <w:szCs w:val="20"/>
    </w:rPr>
  </w:style>
  <w:style w:type="character" w:styleId="FootnoteReference">
    <w:name w:val="footnote reference"/>
    <w:basedOn w:val="DefaultParagraphFont"/>
    <w:uiPriority w:val="99"/>
    <w:semiHidden/>
    <w:unhideWhenUsed/>
    <w:rsid w:val="00214265"/>
    <w:rPr>
      <w:vertAlign w:val="superscript"/>
    </w:rPr>
  </w:style>
  <w:style w:type="paragraph" w:styleId="Bibliography">
    <w:name w:val="Bibliography"/>
    <w:basedOn w:val="Normal"/>
    <w:next w:val="Normal"/>
    <w:uiPriority w:val="37"/>
    <w:unhideWhenUsed/>
    <w:rsid w:val="00214265"/>
    <w:pPr>
      <w:spacing w:after="0" w:line="240" w:lineRule="auto"/>
      <w:ind w:left="720" w:hanging="720"/>
    </w:pPr>
  </w:style>
  <w:style w:type="paragraph" w:styleId="Footer">
    <w:name w:val="footer"/>
    <w:basedOn w:val="Normal"/>
    <w:link w:val="FooterChar"/>
    <w:uiPriority w:val="99"/>
    <w:unhideWhenUsed/>
    <w:rsid w:val="0021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14</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Permata Sharoh Anisa</dc:creator>
  <cp:keywords/>
  <dc:description/>
  <cp:lastModifiedBy>ASUS</cp:lastModifiedBy>
  <cp:revision>4</cp:revision>
  <dcterms:created xsi:type="dcterms:W3CDTF">2024-02-01T03:28:00Z</dcterms:created>
  <dcterms:modified xsi:type="dcterms:W3CDTF">2024-02-05T02:22:00Z</dcterms:modified>
</cp:coreProperties>
</file>